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05417" w14:textId="77777777" w:rsidR="00BA1523" w:rsidRPr="00551BF7" w:rsidRDefault="00EE75C2" w:rsidP="00551BF7">
      <w:pPr>
        <w:spacing w:line="360" w:lineRule="auto"/>
        <w:rPr>
          <w:rFonts w:ascii="Arial Bold" w:hAnsi="Arial Bold" w:cs="Arial"/>
          <w:b/>
          <w:smallCaps/>
        </w:rPr>
      </w:pPr>
      <w:r w:rsidRPr="00551BF7">
        <w:rPr>
          <w:rFonts w:ascii="Arial Bold" w:hAnsi="Arial Bold" w:cs="Arial"/>
          <w:b/>
          <w:smallCaps/>
        </w:rPr>
        <w:t>data d</w:t>
      </w:r>
      <w:r w:rsidR="00BA1523" w:rsidRPr="00551BF7">
        <w:rPr>
          <w:rFonts w:ascii="Arial Bold" w:hAnsi="Arial Bold" w:cs="Arial"/>
          <w:b/>
          <w:smallCaps/>
        </w:rPr>
        <w:t>escriptor</w:t>
      </w:r>
    </w:p>
    <w:p w14:paraId="27D6B97E" w14:textId="77777777" w:rsidR="005973BD" w:rsidRPr="008C2BC8" w:rsidRDefault="00065E74" w:rsidP="00551B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BC8">
        <w:rPr>
          <w:rFonts w:ascii="Arial" w:hAnsi="Arial" w:cs="Arial"/>
          <w:sz w:val="24"/>
          <w:szCs w:val="24"/>
        </w:rPr>
        <w:t xml:space="preserve">Geochemical modelling </w:t>
      </w:r>
      <w:r w:rsidR="00AD5F47" w:rsidRPr="008C2BC8">
        <w:rPr>
          <w:rFonts w:ascii="Arial" w:hAnsi="Arial" w:cs="Arial"/>
          <w:sz w:val="24"/>
          <w:szCs w:val="24"/>
        </w:rPr>
        <w:t xml:space="preserve">of </w:t>
      </w:r>
      <w:r w:rsidR="00BF5ADF" w:rsidRPr="008C2BC8">
        <w:rPr>
          <w:rFonts w:ascii="Arial" w:hAnsi="Arial" w:cs="Arial"/>
          <w:sz w:val="24"/>
          <w:szCs w:val="24"/>
        </w:rPr>
        <w:t xml:space="preserve">groundwater </w:t>
      </w:r>
      <w:r w:rsidR="00AD5F47" w:rsidRPr="008C2BC8">
        <w:rPr>
          <w:rFonts w:ascii="Arial" w:hAnsi="Arial" w:cs="Arial"/>
          <w:sz w:val="24"/>
          <w:szCs w:val="24"/>
        </w:rPr>
        <w:t xml:space="preserve">in </w:t>
      </w:r>
      <w:r w:rsidR="00E61D88" w:rsidRPr="008C2BC8">
        <w:rPr>
          <w:rFonts w:ascii="Arial" w:hAnsi="Arial" w:cs="Arial"/>
          <w:sz w:val="24"/>
          <w:szCs w:val="24"/>
        </w:rPr>
        <w:t>the Namaqualand</w:t>
      </w:r>
      <w:r w:rsidR="00AD5F47" w:rsidRPr="008C2BC8">
        <w:rPr>
          <w:rFonts w:ascii="Arial" w:hAnsi="Arial" w:cs="Arial"/>
          <w:sz w:val="24"/>
          <w:szCs w:val="24"/>
        </w:rPr>
        <w:t xml:space="preserve"> region</w:t>
      </w:r>
      <w:r w:rsidRPr="008C2BC8">
        <w:rPr>
          <w:rFonts w:ascii="Arial" w:hAnsi="Arial" w:cs="Arial"/>
          <w:sz w:val="24"/>
          <w:szCs w:val="24"/>
        </w:rPr>
        <w:t>, South Africa</w:t>
      </w:r>
    </w:p>
    <w:p w14:paraId="7396E705" w14:textId="77777777" w:rsidR="00485C25" w:rsidRPr="00551BF7" w:rsidRDefault="00065E74" w:rsidP="00551BF7">
      <w:pPr>
        <w:tabs>
          <w:tab w:val="left" w:pos="74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1BF7">
        <w:rPr>
          <w:rFonts w:ascii="Arial" w:hAnsi="Arial" w:cs="Arial"/>
          <w:sz w:val="24"/>
          <w:szCs w:val="24"/>
        </w:rPr>
        <w:tab/>
      </w:r>
    </w:p>
    <w:p w14:paraId="7F299942" w14:textId="77777777" w:rsidR="00485C25" w:rsidRPr="00551BF7" w:rsidRDefault="00485C25" w:rsidP="00551B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E96F49" w14:textId="77777777" w:rsidR="005604D0" w:rsidRPr="008E195E" w:rsidRDefault="00BF5ADF" w:rsidP="00551BF7">
      <w:pPr>
        <w:spacing w:after="0" w:line="240" w:lineRule="auto"/>
        <w:jc w:val="center"/>
        <w:rPr>
          <w:rFonts w:ascii="Arial" w:hAnsi="Arial" w:cs="Arial"/>
          <w:vertAlign w:val="superscript"/>
        </w:rPr>
      </w:pPr>
      <w:r w:rsidRPr="008E195E">
        <w:rPr>
          <w:rFonts w:ascii="Arial" w:hAnsi="Arial" w:cs="Arial"/>
        </w:rPr>
        <w:t>Innocentia G. Erdogan</w:t>
      </w:r>
      <w:r w:rsidR="00B810E5" w:rsidRPr="008E195E">
        <w:rPr>
          <w:rFonts w:ascii="Arial" w:hAnsi="Arial" w:cs="Arial"/>
          <w:vertAlign w:val="superscript"/>
        </w:rPr>
        <w:t>123</w:t>
      </w:r>
      <w:r w:rsidR="00E61D88" w:rsidRPr="008E195E">
        <w:rPr>
          <w:rFonts w:ascii="Arial" w:hAnsi="Arial" w:cs="Arial"/>
          <w:vertAlign w:val="superscript"/>
        </w:rPr>
        <w:t>*</w:t>
      </w:r>
      <w:r w:rsidR="00B810E5" w:rsidRPr="008E195E">
        <w:rPr>
          <w:rFonts w:ascii="Arial" w:hAnsi="Arial" w:cs="Arial"/>
        </w:rPr>
        <w:t xml:space="preserve">, </w:t>
      </w:r>
      <w:r w:rsidR="00251B57" w:rsidRPr="008E195E">
        <w:rPr>
          <w:rFonts w:ascii="Arial" w:hAnsi="Arial" w:cs="Arial"/>
        </w:rPr>
        <w:t>Alseno Mosa</w:t>
      </w:r>
      <w:r w:rsidR="009C6F82" w:rsidRPr="008E195E">
        <w:rPr>
          <w:rFonts w:ascii="Arial" w:hAnsi="Arial" w:cs="Arial"/>
        </w:rPr>
        <w:t>i</w:t>
      </w:r>
      <w:r w:rsidR="00C30590" w:rsidRPr="008E195E">
        <w:rPr>
          <w:rFonts w:ascii="Arial" w:hAnsi="Arial" w:cs="Arial"/>
          <w:vertAlign w:val="superscript"/>
        </w:rPr>
        <w:t>4</w:t>
      </w:r>
      <w:r w:rsidR="00C95D7C" w:rsidRPr="008E195E">
        <w:rPr>
          <w:rFonts w:ascii="Arial" w:hAnsi="Arial" w:cs="Arial"/>
        </w:rPr>
        <w:t>, Seteno K.O. Ntwampe</w:t>
      </w:r>
      <w:r w:rsidR="009C6F82" w:rsidRPr="008E195E">
        <w:rPr>
          <w:rFonts w:ascii="Arial" w:hAnsi="Arial" w:cs="Arial"/>
          <w:vertAlign w:val="superscript"/>
        </w:rPr>
        <w:t>1</w:t>
      </w:r>
      <w:r w:rsidR="00485C25" w:rsidRPr="008E195E">
        <w:rPr>
          <w:rFonts w:ascii="Arial" w:hAnsi="Arial" w:cs="Arial"/>
        </w:rPr>
        <w:t>,</w:t>
      </w:r>
      <w:r w:rsidR="00B810E5" w:rsidRPr="008E195E">
        <w:rPr>
          <w:rFonts w:ascii="Arial" w:hAnsi="Arial" w:cs="Arial"/>
        </w:rPr>
        <w:t xml:space="preserve"> Elvis</w:t>
      </w:r>
      <w:r w:rsidR="00E61D88" w:rsidRPr="008E195E">
        <w:rPr>
          <w:rFonts w:ascii="Arial" w:hAnsi="Arial" w:cs="Arial"/>
        </w:rPr>
        <w:t xml:space="preserve"> </w:t>
      </w:r>
      <w:r w:rsidR="00C95D7C" w:rsidRPr="008E195E">
        <w:rPr>
          <w:rFonts w:ascii="Arial" w:hAnsi="Arial" w:cs="Arial"/>
        </w:rPr>
        <w:t>Fosso-Kankeu</w:t>
      </w:r>
      <w:r w:rsidR="001611FD" w:rsidRPr="008E195E">
        <w:rPr>
          <w:rFonts w:ascii="Arial" w:hAnsi="Arial" w:cs="Arial"/>
          <w:vertAlign w:val="superscript"/>
        </w:rPr>
        <w:t>1</w:t>
      </w:r>
      <w:r w:rsidR="001611FD" w:rsidRPr="008E195E">
        <w:rPr>
          <w:rFonts w:ascii="Arial" w:hAnsi="Arial" w:cs="Arial"/>
        </w:rPr>
        <w:t>,</w:t>
      </w:r>
      <w:r w:rsidR="00B810E5" w:rsidRPr="008E195E">
        <w:rPr>
          <w:rFonts w:ascii="Arial" w:hAnsi="Arial" w:cs="Arial"/>
        </w:rPr>
        <w:t xml:space="preserve"> </w:t>
      </w:r>
      <w:proofErr w:type="spellStart"/>
      <w:r w:rsidR="00B810E5" w:rsidRPr="008E195E">
        <w:rPr>
          <w:rFonts w:ascii="Arial" w:hAnsi="Arial" w:cs="Arial"/>
        </w:rPr>
        <w:t>Frans</w:t>
      </w:r>
      <w:proofErr w:type="spellEnd"/>
      <w:r w:rsidR="00B810E5" w:rsidRPr="008E195E">
        <w:rPr>
          <w:rFonts w:ascii="Arial" w:hAnsi="Arial" w:cs="Arial"/>
        </w:rPr>
        <w:t xml:space="preserve"> </w:t>
      </w:r>
      <w:r w:rsidR="005B52AA" w:rsidRPr="008E195E">
        <w:rPr>
          <w:rFonts w:ascii="Arial" w:hAnsi="Arial" w:cs="Arial"/>
        </w:rPr>
        <w:t xml:space="preserve">B. </w:t>
      </w:r>
      <w:r w:rsidR="00B810E5" w:rsidRPr="008E195E">
        <w:rPr>
          <w:rFonts w:ascii="Arial" w:hAnsi="Arial" w:cs="Arial"/>
        </w:rPr>
        <w:t>Waanders</w:t>
      </w:r>
      <w:r w:rsidR="001611FD" w:rsidRPr="008E195E">
        <w:rPr>
          <w:rFonts w:ascii="Arial" w:hAnsi="Arial" w:cs="Arial"/>
          <w:vertAlign w:val="superscript"/>
        </w:rPr>
        <w:t>1</w:t>
      </w:r>
    </w:p>
    <w:p w14:paraId="0B5F3C88" w14:textId="77777777" w:rsidR="00485C25" w:rsidRPr="00551BF7" w:rsidRDefault="00485C25" w:rsidP="00551BF7">
      <w:pPr>
        <w:spacing w:after="0" w:line="240" w:lineRule="auto"/>
        <w:jc w:val="center"/>
        <w:rPr>
          <w:rFonts w:ascii="Arial" w:hAnsi="Arial" w:cs="Arial"/>
        </w:rPr>
      </w:pPr>
    </w:p>
    <w:p w14:paraId="5FA1EE5E" w14:textId="77777777" w:rsidR="00C466CE" w:rsidRPr="00551BF7" w:rsidRDefault="00694F40" w:rsidP="00551BF7">
      <w:pPr>
        <w:spacing w:line="360" w:lineRule="auto"/>
        <w:jc w:val="both"/>
        <w:rPr>
          <w:rFonts w:ascii="Arial" w:hAnsi="Arial" w:cs="Arial"/>
          <w:b/>
        </w:rPr>
      </w:pPr>
      <w:r w:rsidRPr="00551BF7">
        <w:rPr>
          <w:rFonts w:ascii="Arial" w:hAnsi="Arial" w:cs="Arial"/>
          <w:b/>
        </w:rPr>
        <w:t>Abstract</w:t>
      </w:r>
      <w:r w:rsidR="00485C25" w:rsidRPr="00551BF7">
        <w:rPr>
          <w:rFonts w:ascii="Arial" w:hAnsi="Arial" w:cs="Arial"/>
          <w:b/>
        </w:rPr>
        <w:t>:</w:t>
      </w:r>
    </w:p>
    <w:p w14:paraId="6242787E" w14:textId="77777777" w:rsidR="001427A5" w:rsidRPr="00551BF7" w:rsidRDefault="00A23FB0" w:rsidP="00551BF7">
      <w:pPr>
        <w:spacing w:line="360" w:lineRule="auto"/>
        <w:jc w:val="both"/>
        <w:rPr>
          <w:rFonts w:ascii="Arial" w:hAnsi="Arial" w:cs="Arial"/>
        </w:rPr>
      </w:pPr>
      <w:r w:rsidRPr="00551BF7">
        <w:rPr>
          <w:rFonts w:ascii="Arial" w:hAnsi="Arial" w:cs="Arial"/>
        </w:rPr>
        <w:t>Namaqualand is</w:t>
      </w:r>
      <w:r w:rsidR="00D21E8B" w:rsidRPr="00551BF7">
        <w:rPr>
          <w:rFonts w:ascii="Arial" w:hAnsi="Arial" w:cs="Arial"/>
        </w:rPr>
        <w:t xml:space="preserve"> one of the </w:t>
      </w:r>
      <w:proofErr w:type="spellStart"/>
      <w:r w:rsidR="00E61D88" w:rsidRPr="00551BF7">
        <w:rPr>
          <w:rFonts w:ascii="Arial" w:hAnsi="Arial" w:cs="Arial"/>
        </w:rPr>
        <w:t>aridest</w:t>
      </w:r>
      <w:proofErr w:type="spellEnd"/>
      <w:r w:rsidR="00D21E8B" w:rsidRPr="00551BF7">
        <w:rPr>
          <w:rFonts w:ascii="Arial" w:hAnsi="Arial" w:cs="Arial"/>
        </w:rPr>
        <w:t xml:space="preserve"> areas in South Africa. In recent</w:t>
      </w:r>
      <w:r w:rsidRPr="00551BF7">
        <w:rPr>
          <w:rFonts w:ascii="Arial" w:hAnsi="Arial" w:cs="Arial"/>
        </w:rPr>
        <w:t xml:space="preserve"> </w:t>
      </w:r>
      <w:r w:rsidR="00D21E8B" w:rsidRPr="00551BF7">
        <w:rPr>
          <w:rFonts w:ascii="Arial" w:hAnsi="Arial" w:cs="Arial"/>
        </w:rPr>
        <w:t xml:space="preserve">years, rapid development has created a </w:t>
      </w:r>
      <w:r w:rsidR="00E61D88" w:rsidRPr="00551BF7">
        <w:rPr>
          <w:rFonts w:ascii="Arial" w:hAnsi="Arial" w:cs="Arial"/>
        </w:rPr>
        <w:t>high</w:t>
      </w:r>
      <w:r w:rsidR="00D21E8B" w:rsidRPr="00551BF7">
        <w:rPr>
          <w:rFonts w:ascii="Arial" w:hAnsi="Arial" w:cs="Arial"/>
        </w:rPr>
        <w:t>er demand for</w:t>
      </w:r>
      <w:r w:rsidRPr="00551BF7">
        <w:rPr>
          <w:rFonts w:ascii="Arial" w:hAnsi="Arial" w:cs="Arial"/>
        </w:rPr>
        <w:t xml:space="preserve"> </w:t>
      </w:r>
      <w:r w:rsidR="00D21E8B" w:rsidRPr="00551BF7">
        <w:rPr>
          <w:rFonts w:ascii="Arial" w:hAnsi="Arial" w:cs="Arial"/>
        </w:rPr>
        <w:t>water which is increasingly fulfilled by groundwater</w:t>
      </w:r>
      <w:r w:rsidRPr="00551BF7">
        <w:rPr>
          <w:rFonts w:ascii="Arial" w:hAnsi="Arial" w:cs="Arial"/>
        </w:rPr>
        <w:t xml:space="preserve"> </w:t>
      </w:r>
      <w:r w:rsidR="00335BB3" w:rsidRPr="00551BF7">
        <w:rPr>
          <w:rFonts w:ascii="Arial" w:hAnsi="Arial" w:cs="Arial"/>
        </w:rPr>
        <w:t xml:space="preserve">abstraction. </w:t>
      </w:r>
      <w:r w:rsidRPr="00551BF7">
        <w:rPr>
          <w:rFonts w:ascii="Arial" w:hAnsi="Arial" w:cs="Arial"/>
        </w:rPr>
        <w:t>Comprehensive</w:t>
      </w:r>
      <w:r w:rsidR="00D21E8B" w:rsidRPr="00551BF7">
        <w:rPr>
          <w:rFonts w:ascii="Arial" w:hAnsi="Arial" w:cs="Arial"/>
        </w:rPr>
        <w:t xml:space="preserve"> </w:t>
      </w:r>
      <w:r w:rsidRPr="00551BF7">
        <w:rPr>
          <w:rFonts w:ascii="Arial" w:hAnsi="Arial" w:cs="Arial"/>
        </w:rPr>
        <w:t>information</w:t>
      </w:r>
      <w:r w:rsidR="00D21E8B" w:rsidRPr="00551BF7">
        <w:rPr>
          <w:rFonts w:ascii="Arial" w:hAnsi="Arial" w:cs="Arial"/>
        </w:rPr>
        <w:t xml:space="preserve"> of geochemical evolution</w:t>
      </w:r>
      <w:r w:rsidRPr="00551BF7">
        <w:rPr>
          <w:rFonts w:ascii="Arial" w:hAnsi="Arial" w:cs="Arial"/>
        </w:rPr>
        <w:t xml:space="preserve"> </w:t>
      </w:r>
      <w:r w:rsidR="00D21E8B" w:rsidRPr="00551BF7">
        <w:rPr>
          <w:rFonts w:ascii="Arial" w:hAnsi="Arial" w:cs="Arial"/>
        </w:rPr>
        <w:t xml:space="preserve">of groundwater quality can improve the understanding of hydrochemical </w:t>
      </w:r>
      <w:r w:rsidR="00E926AD" w:rsidRPr="00551BF7">
        <w:rPr>
          <w:rFonts w:ascii="Arial" w:hAnsi="Arial" w:cs="Arial"/>
        </w:rPr>
        <w:t>characteristics</w:t>
      </w:r>
      <w:r w:rsidR="00D21E8B" w:rsidRPr="00551BF7">
        <w:rPr>
          <w:rFonts w:ascii="Arial" w:hAnsi="Arial" w:cs="Arial"/>
        </w:rPr>
        <w:t>, and promote</w:t>
      </w:r>
      <w:r w:rsidR="00E926AD" w:rsidRPr="00551BF7">
        <w:rPr>
          <w:rFonts w:ascii="Arial" w:hAnsi="Arial" w:cs="Arial"/>
        </w:rPr>
        <w:t xml:space="preserve"> </w:t>
      </w:r>
      <w:r w:rsidR="00D21E8B" w:rsidRPr="00551BF7">
        <w:rPr>
          <w:rFonts w:ascii="Arial" w:hAnsi="Arial" w:cs="Arial"/>
        </w:rPr>
        <w:t>sustainable development and effective management of</w:t>
      </w:r>
      <w:r w:rsidR="00E926AD" w:rsidRPr="00551BF7">
        <w:rPr>
          <w:rFonts w:ascii="Arial" w:hAnsi="Arial" w:cs="Arial"/>
        </w:rPr>
        <w:t xml:space="preserve"> </w:t>
      </w:r>
      <w:r w:rsidR="00D21E8B" w:rsidRPr="00551BF7">
        <w:rPr>
          <w:rFonts w:ascii="Arial" w:hAnsi="Arial" w:cs="Arial"/>
        </w:rPr>
        <w:t xml:space="preserve">groundwater resources. </w:t>
      </w:r>
      <w:r w:rsidR="00C466CE" w:rsidRPr="00551BF7">
        <w:rPr>
          <w:rFonts w:ascii="Arial" w:hAnsi="Arial" w:cs="Arial"/>
        </w:rPr>
        <w:t xml:space="preserve">The study aims </w:t>
      </w:r>
      <w:r w:rsidR="00EF3CF3" w:rsidRPr="00551BF7">
        <w:rPr>
          <w:rFonts w:ascii="Arial" w:hAnsi="Arial" w:cs="Arial"/>
        </w:rPr>
        <w:t>w</w:t>
      </w:r>
      <w:r w:rsidR="00E61D88" w:rsidRPr="00551BF7">
        <w:rPr>
          <w:rFonts w:ascii="Arial" w:hAnsi="Arial" w:cs="Arial"/>
        </w:rPr>
        <w:t>ere</w:t>
      </w:r>
      <w:r w:rsidR="00EF3CF3" w:rsidRPr="00551BF7">
        <w:rPr>
          <w:rFonts w:ascii="Arial" w:hAnsi="Arial" w:cs="Arial"/>
        </w:rPr>
        <w:t xml:space="preserve"> to </w:t>
      </w:r>
      <w:r w:rsidR="00C466CE" w:rsidRPr="00551BF7">
        <w:rPr>
          <w:rFonts w:ascii="Arial" w:hAnsi="Arial" w:cs="Arial"/>
        </w:rPr>
        <w:t>use PHRE</w:t>
      </w:r>
      <w:r w:rsidR="003A672C" w:rsidRPr="00551BF7">
        <w:rPr>
          <w:rFonts w:ascii="Arial" w:hAnsi="Arial" w:cs="Arial"/>
        </w:rPr>
        <w:t xml:space="preserve">EQC model to </w:t>
      </w:r>
      <w:r w:rsidR="00EF3CF3" w:rsidRPr="00551BF7">
        <w:rPr>
          <w:rFonts w:ascii="Arial" w:hAnsi="Arial" w:cs="Arial"/>
        </w:rPr>
        <w:t xml:space="preserve">determine </w:t>
      </w:r>
      <w:proofErr w:type="spellStart"/>
      <w:r w:rsidR="00C466CE" w:rsidRPr="00551BF7">
        <w:rPr>
          <w:rFonts w:ascii="Arial" w:hAnsi="Arial" w:cs="Arial"/>
        </w:rPr>
        <w:t>hydrogeochemical</w:t>
      </w:r>
      <w:proofErr w:type="spellEnd"/>
      <w:r w:rsidR="00C466CE" w:rsidRPr="00551BF7">
        <w:rPr>
          <w:rFonts w:ascii="Arial" w:hAnsi="Arial" w:cs="Arial"/>
        </w:rPr>
        <w:t xml:space="preserve"> </w:t>
      </w:r>
      <w:r w:rsidR="003A672C" w:rsidRPr="00551BF7">
        <w:rPr>
          <w:rFonts w:ascii="Arial" w:hAnsi="Arial" w:cs="Arial"/>
        </w:rPr>
        <w:t>characteristics of groundwater</w:t>
      </w:r>
      <w:r w:rsidR="00937490" w:rsidRPr="00551BF7">
        <w:rPr>
          <w:rFonts w:ascii="Arial" w:hAnsi="Arial" w:cs="Arial"/>
        </w:rPr>
        <w:t xml:space="preserve">, </w:t>
      </w:r>
      <w:r w:rsidR="00501D97" w:rsidRPr="00551BF7">
        <w:rPr>
          <w:rFonts w:ascii="Arial" w:hAnsi="Arial" w:cs="Arial"/>
        </w:rPr>
        <w:t>to determine how groundwater has deteriorated of time</w:t>
      </w:r>
      <w:r w:rsidR="00937490" w:rsidRPr="00551BF7">
        <w:rPr>
          <w:rFonts w:ascii="Arial" w:hAnsi="Arial" w:cs="Arial"/>
        </w:rPr>
        <w:t xml:space="preserve"> and to identify the major phases that control groundwater in such arid region.</w:t>
      </w:r>
      <w:r w:rsidR="004140A5" w:rsidRPr="00551BF7">
        <w:rPr>
          <w:rFonts w:ascii="Arial" w:hAnsi="Arial" w:cs="Arial"/>
        </w:rPr>
        <w:t xml:space="preserve"> The model output showed phases </w:t>
      </w:r>
      <w:r w:rsidR="00CB3C49" w:rsidRPr="00551BF7">
        <w:rPr>
          <w:rFonts w:ascii="Arial" w:hAnsi="Arial" w:cs="Arial"/>
        </w:rPr>
        <w:t xml:space="preserve">that </w:t>
      </w:r>
      <w:r w:rsidR="004140A5" w:rsidRPr="00551BF7">
        <w:rPr>
          <w:rFonts w:ascii="Arial" w:hAnsi="Arial" w:cs="Arial"/>
        </w:rPr>
        <w:t xml:space="preserve">are governing the </w:t>
      </w:r>
      <w:r w:rsidR="00CB3C49" w:rsidRPr="00551BF7">
        <w:rPr>
          <w:rFonts w:ascii="Arial" w:hAnsi="Arial" w:cs="Arial"/>
        </w:rPr>
        <w:t>ground</w:t>
      </w:r>
      <w:r w:rsidR="004140A5" w:rsidRPr="00551BF7">
        <w:rPr>
          <w:rFonts w:ascii="Arial" w:hAnsi="Arial" w:cs="Arial"/>
        </w:rPr>
        <w:t>water chemistry in this area</w:t>
      </w:r>
      <w:r w:rsidR="00BA1455" w:rsidRPr="00551BF7">
        <w:rPr>
          <w:rFonts w:ascii="Arial" w:hAnsi="Arial" w:cs="Arial"/>
        </w:rPr>
        <w:t>.</w:t>
      </w:r>
      <w:r w:rsidR="004140A5" w:rsidRPr="00551BF7">
        <w:rPr>
          <w:rFonts w:ascii="Arial" w:hAnsi="Arial" w:cs="Arial"/>
        </w:rPr>
        <w:t xml:space="preserve"> </w:t>
      </w:r>
      <w:r w:rsidR="00BA1455" w:rsidRPr="00551BF7">
        <w:rPr>
          <w:rFonts w:ascii="Arial" w:hAnsi="Arial" w:cs="Arial"/>
        </w:rPr>
        <w:t>T</w:t>
      </w:r>
      <w:r w:rsidR="004140A5" w:rsidRPr="00551BF7">
        <w:rPr>
          <w:rFonts w:ascii="Arial" w:hAnsi="Arial" w:cs="Arial"/>
        </w:rPr>
        <w:t xml:space="preserve">he geochemical reactions responsible for </w:t>
      </w:r>
      <w:r w:rsidR="00E61D88" w:rsidRPr="00551BF7">
        <w:rPr>
          <w:rFonts w:ascii="Arial" w:hAnsi="Arial" w:cs="Arial"/>
        </w:rPr>
        <w:t xml:space="preserve">the </w:t>
      </w:r>
      <w:r w:rsidR="004140A5" w:rsidRPr="00551BF7">
        <w:rPr>
          <w:rFonts w:ascii="Arial" w:hAnsi="Arial" w:cs="Arial"/>
        </w:rPr>
        <w:t xml:space="preserve">evolution of groundwater chemistry along the flow path were </w:t>
      </w:r>
      <w:r w:rsidR="00E61D88" w:rsidRPr="00551BF7">
        <w:rPr>
          <w:rFonts w:ascii="Arial" w:hAnsi="Arial" w:cs="Arial"/>
        </w:rPr>
        <w:t xml:space="preserve">the </w:t>
      </w:r>
      <w:r w:rsidR="004140A5" w:rsidRPr="00551BF7">
        <w:rPr>
          <w:rFonts w:ascii="Arial" w:hAnsi="Arial" w:cs="Arial"/>
        </w:rPr>
        <w:t xml:space="preserve">dissolution of </w:t>
      </w:r>
      <w:r w:rsidR="00E92F31" w:rsidRPr="00551BF7">
        <w:rPr>
          <w:rFonts w:ascii="Arial" w:hAnsi="Arial" w:cs="Arial"/>
        </w:rPr>
        <w:t>t</w:t>
      </w:r>
      <w:r w:rsidR="00E56CD5" w:rsidRPr="00551BF7">
        <w:rPr>
          <w:rFonts w:ascii="Arial" w:hAnsi="Arial" w:cs="Arial"/>
        </w:rPr>
        <w:t xml:space="preserve">he carbonate minerals </w:t>
      </w:r>
      <w:r w:rsidR="00342EA5" w:rsidRPr="00551BF7">
        <w:rPr>
          <w:rFonts w:ascii="Arial" w:hAnsi="Arial" w:cs="Arial"/>
        </w:rPr>
        <w:t xml:space="preserve">such as </w:t>
      </w:r>
      <w:r w:rsidR="00D237B9" w:rsidRPr="00551BF7">
        <w:rPr>
          <w:rFonts w:ascii="Arial" w:hAnsi="Arial" w:cs="Arial"/>
        </w:rPr>
        <w:t>aragonite,</w:t>
      </w:r>
      <w:r w:rsidR="004F74DE" w:rsidRPr="00551BF7">
        <w:rPr>
          <w:rFonts w:ascii="Arial" w:hAnsi="Arial" w:cs="Arial"/>
        </w:rPr>
        <w:t xml:space="preserve"> </w:t>
      </w:r>
      <w:r w:rsidR="00D237B9" w:rsidRPr="00551BF7">
        <w:rPr>
          <w:rFonts w:ascii="Arial" w:hAnsi="Arial" w:cs="Arial"/>
        </w:rPr>
        <w:t>Ca</w:t>
      </w:r>
      <w:r w:rsidR="00D237B9" w:rsidRPr="00551BF7">
        <w:rPr>
          <w:rFonts w:ascii="Arial" w:hAnsi="Arial" w:cs="Arial"/>
          <w:vertAlign w:val="subscript"/>
        </w:rPr>
        <w:t>3</w:t>
      </w:r>
      <w:r w:rsidR="00D237B9" w:rsidRPr="00551BF7">
        <w:rPr>
          <w:rFonts w:ascii="Arial" w:hAnsi="Arial" w:cs="Arial"/>
        </w:rPr>
        <w:t>(PO</w:t>
      </w:r>
      <w:r w:rsidR="00D237B9" w:rsidRPr="00551BF7">
        <w:rPr>
          <w:rFonts w:ascii="Arial" w:hAnsi="Arial" w:cs="Arial"/>
          <w:vertAlign w:val="subscript"/>
        </w:rPr>
        <w:t>4</w:t>
      </w:r>
      <w:r w:rsidR="00D237B9" w:rsidRPr="00551BF7">
        <w:rPr>
          <w:rFonts w:ascii="Arial" w:hAnsi="Arial" w:cs="Arial"/>
        </w:rPr>
        <w:t>)</w:t>
      </w:r>
      <w:r w:rsidR="00D237B9" w:rsidRPr="00551BF7">
        <w:rPr>
          <w:rFonts w:ascii="Arial" w:hAnsi="Arial" w:cs="Arial"/>
          <w:vertAlign w:val="subscript"/>
        </w:rPr>
        <w:t>2</w:t>
      </w:r>
      <w:r w:rsidR="00D237B9" w:rsidRPr="00551BF7">
        <w:rPr>
          <w:rFonts w:ascii="Arial" w:hAnsi="Arial" w:cs="Arial"/>
        </w:rPr>
        <w:t>, calcite dolomite</w:t>
      </w:r>
      <w:r w:rsidR="00A76278" w:rsidRPr="00551BF7">
        <w:rPr>
          <w:rFonts w:ascii="Arial" w:hAnsi="Arial" w:cs="Arial"/>
        </w:rPr>
        <w:t>,</w:t>
      </w:r>
      <w:r w:rsidR="00AA6E5D" w:rsidRPr="00551BF7">
        <w:rPr>
          <w:rFonts w:ascii="Arial" w:hAnsi="Arial" w:cs="Arial"/>
        </w:rPr>
        <w:t xml:space="preserve"> </w:t>
      </w:r>
      <w:proofErr w:type="spellStart"/>
      <w:r w:rsidR="00AA6E5D" w:rsidRPr="00551BF7">
        <w:rPr>
          <w:rFonts w:ascii="Arial" w:hAnsi="Arial" w:cs="Arial"/>
        </w:rPr>
        <w:t>ferrihydrite</w:t>
      </w:r>
      <w:proofErr w:type="spellEnd"/>
      <w:r w:rsidR="00A76278" w:rsidRPr="00551BF7">
        <w:rPr>
          <w:rFonts w:ascii="Arial" w:hAnsi="Arial" w:cs="Arial"/>
        </w:rPr>
        <w:t xml:space="preserve"> and </w:t>
      </w:r>
      <w:proofErr w:type="spellStart"/>
      <w:r w:rsidR="00A76278" w:rsidRPr="00551BF7">
        <w:rPr>
          <w:rFonts w:ascii="Arial" w:hAnsi="Arial" w:cs="Arial"/>
        </w:rPr>
        <w:t>v</w:t>
      </w:r>
      <w:r w:rsidR="00F13623" w:rsidRPr="00551BF7">
        <w:rPr>
          <w:rFonts w:ascii="Arial" w:hAnsi="Arial" w:cs="Arial"/>
        </w:rPr>
        <w:t>aterite</w:t>
      </w:r>
      <w:proofErr w:type="spellEnd"/>
      <w:r w:rsidR="00F13623" w:rsidRPr="00551BF7">
        <w:rPr>
          <w:rFonts w:ascii="Arial" w:hAnsi="Arial" w:cs="Arial"/>
        </w:rPr>
        <w:t xml:space="preserve"> </w:t>
      </w:r>
      <w:r w:rsidR="00E56CD5" w:rsidRPr="00551BF7">
        <w:rPr>
          <w:rFonts w:ascii="Arial" w:hAnsi="Arial" w:cs="Arial"/>
        </w:rPr>
        <w:t xml:space="preserve">keep gradually from </w:t>
      </w:r>
      <w:proofErr w:type="spellStart"/>
      <w:r w:rsidR="00E56CD5" w:rsidRPr="00551BF7">
        <w:rPr>
          <w:rFonts w:ascii="Arial" w:hAnsi="Arial" w:cs="Arial"/>
        </w:rPr>
        <w:t>u</w:t>
      </w:r>
      <w:r w:rsidR="00D237B9" w:rsidRPr="00551BF7">
        <w:rPr>
          <w:rFonts w:ascii="Arial" w:hAnsi="Arial" w:cs="Arial"/>
        </w:rPr>
        <w:t>nder</w:t>
      </w:r>
      <w:r w:rsidR="00E56CD5" w:rsidRPr="00551BF7">
        <w:rPr>
          <w:rFonts w:ascii="Arial" w:hAnsi="Arial" w:cs="Arial"/>
        </w:rPr>
        <w:t>saturation</w:t>
      </w:r>
      <w:proofErr w:type="spellEnd"/>
      <w:r w:rsidR="00E56CD5" w:rsidRPr="00551BF7">
        <w:rPr>
          <w:rFonts w:ascii="Arial" w:hAnsi="Arial" w:cs="Arial"/>
        </w:rPr>
        <w:t xml:space="preserve"> to </w:t>
      </w:r>
      <w:r w:rsidR="00D237B9" w:rsidRPr="00551BF7">
        <w:rPr>
          <w:rFonts w:ascii="Arial" w:hAnsi="Arial" w:cs="Arial"/>
        </w:rPr>
        <w:t>supersaturating</w:t>
      </w:r>
      <w:r w:rsidR="00E56CD5" w:rsidRPr="00551BF7">
        <w:rPr>
          <w:rFonts w:ascii="Arial" w:hAnsi="Arial" w:cs="Arial"/>
        </w:rPr>
        <w:t xml:space="preserve"> status</w:t>
      </w:r>
      <w:r w:rsidR="0099739E" w:rsidRPr="00551BF7">
        <w:rPr>
          <w:rFonts w:ascii="Arial" w:hAnsi="Arial" w:cs="Arial"/>
        </w:rPr>
        <w:t xml:space="preserve"> and </w:t>
      </w:r>
      <w:r w:rsidR="003C732B" w:rsidRPr="00551BF7">
        <w:rPr>
          <w:rFonts w:ascii="Arial" w:hAnsi="Arial" w:cs="Arial"/>
        </w:rPr>
        <w:t>vice</w:t>
      </w:r>
      <w:r w:rsidR="00F13623" w:rsidRPr="00551BF7">
        <w:rPr>
          <w:rFonts w:ascii="Arial" w:hAnsi="Arial" w:cs="Arial"/>
        </w:rPr>
        <w:t xml:space="preserve"> versa </w:t>
      </w:r>
      <w:r w:rsidR="0099739E" w:rsidRPr="00551BF7">
        <w:rPr>
          <w:rFonts w:ascii="Arial" w:hAnsi="Arial" w:cs="Arial"/>
        </w:rPr>
        <w:t>happed for</w:t>
      </w:r>
      <w:r w:rsidR="00F13623" w:rsidRPr="00551BF7">
        <w:rPr>
          <w:rFonts w:ascii="Arial" w:hAnsi="Arial" w:cs="Arial"/>
        </w:rPr>
        <w:t xml:space="preserve"> </w:t>
      </w:r>
      <w:r w:rsidR="0099739E" w:rsidRPr="00551BF7">
        <w:rPr>
          <w:rFonts w:ascii="Arial" w:hAnsi="Arial" w:cs="Arial"/>
        </w:rPr>
        <w:t>Cd(CO</w:t>
      </w:r>
      <w:r w:rsidR="0099739E" w:rsidRPr="00551BF7">
        <w:rPr>
          <w:rFonts w:ascii="Arial" w:hAnsi="Arial" w:cs="Arial"/>
          <w:vertAlign w:val="subscript"/>
        </w:rPr>
        <w:t>3</w:t>
      </w:r>
      <w:r w:rsidR="0099739E" w:rsidRPr="00551BF7">
        <w:rPr>
          <w:rFonts w:ascii="Arial" w:hAnsi="Arial" w:cs="Arial"/>
        </w:rPr>
        <w:t>)</w:t>
      </w:r>
      <w:r w:rsidR="003C732B" w:rsidRPr="00551BF7">
        <w:rPr>
          <w:rFonts w:ascii="Arial" w:hAnsi="Arial" w:cs="Arial"/>
        </w:rPr>
        <w:t>,</w:t>
      </w:r>
      <w:r w:rsidR="0099739E" w:rsidRPr="00551BF7">
        <w:rPr>
          <w:rFonts w:ascii="Arial" w:hAnsi="Arial" w:cs="Arial"/>
        </w:rPr>
        <w:t xml:space="preserve"> Cr(OH)</w:t>
      </w:r>
      <w:r w:rsidR="0099739E" w:rsidRPr="00551BF7">
        <w:rPr>
          <w:rFonts w:ascii="Arial" w:hAnsi="Arial" w:cs="Arial"/>
          <w:vertAlign w:val="subscript"/>
        </w:rPr>
        <w:t>3</w:t>
      </w:r>
      <w:r w:rsidR="00F13623" w:rsidRPr="00551BF7">
        <w:rPr>
          <w:rFonts w:ascii="Arial" w:hAnsi="Arial" w:cs="Arial"/>
        </w:rPr>
        <w:t xml:space="preserve">. </w:t>
      </w:r>
      <w:r w:rsidR="007A4573" w:rsidRPr="00551BF7">
        <w:rPr>
          <w:rFonts w:ascii="Arial" w:hAnsi="Arial" w:cs="Arial"/>
        </w:rPr>
        <w:t xml:space="preserve">The precipitation of </w:t>
      </w:r>
      <w:proofErr w:type="spellStart"/>
      <w:r w:rsidR="007A4573" w:rsidRPr="00551BF7">
        <w:rPr>
          <w:rFonts w:ascii="Arial" w:hAnsi="Arial" w:cs="Arial"/>
        </w:rPr>
        <w:t>anapaite</w:t>
      </w:r>
      <w:proofErr w:type="spellEnd"/>
      <w:r w:rsidR="007A4573" w:rsidRPr="00551BF7">
        <w:rPr>
          <w:rFonts w:ascii="Arial" w:hAnsi="Arial" w:cs="Arial"/>
        </w:rPr>
        <w:t xml:space="preserve">, </w:t>
      </w:r>
      <w:proofErr w:type="spellStart"/>
      <w:r w:rsidR="007A4573" w:rsidRPr="00551BF7">
        <w:rPr>
          <w:rFonts w:ascii="Arial" w:hAnsi="Arial" w:cs="Arial"/>
        </w:rPr>
        <w:t>chloroapatite</w:t>
      </w:r>
      <w:proofErr w:type="spellEnd"/>
      <w:r w:rsidR="007A4573" w:rsidRPr="00551BF7">
        <w:rPr>
          <w:rFonts w:ascii="Arial" w:hAnsi="Arial" w:cs="Arial"/>
        </w:rPr>
        <w:t>, chromite</w:t>
      </w:r>
      <w:r w:rsidR="00C90AFA" w:rsidRPr="00551BF7">
        <w:rPr>
          <w:rFonts w:ascii="Arial" w:hAnsi="Arial" w:cs="Arial"/>
        </w:rPr>
        <w:t xml:space="preserve">, </w:t>
      </w:r>
      <w:r w:rsidR="00BA1455" w:rsidRPr="00551BF7">
        <w:rPr>
          <w:rFonts w:ascii="Arial" w:hAnsi="Arial" w:cs="Arial"/>
        </w:rPr>
        <w:t>Cr</w:t>
      </w:r>
      <w:r w:rsidR="00BA1455" w:rsidRPr="00551BF7">
        <w:rPr>
          <w:rFonts w:ascii="Arial" w:hAnsi="Arial" w:cs="Arial"/>
          <w:vertAlign w:val="subscript"/>
        </w:rPr>
        <w:t>2</w:t>
      </w:r>
      <w:r w:rsidR="00BA1455" w:rsidRPr="00551BF7">
        <w:rPr>
          <w:rFonts w:ascii="Arial" w:hAnsi="Arial" w:cs="Arial"/>
        </w:rPr>
        <w:t>O</w:t>
      </w:r>
      <w:r w:rsidR="00BA1455" w:rsidRPr="00551BF7">
        <w:rPr>
          <w:rFonts w:ascii="Arial" w:hAnsi="Arial" w:cs="Arial"/>
          <w:vertAlign w:val="subscript"/>
        </w:rPr>
        <w:t>3</w:t>
      </w:r>
      <w:r w:rsidR="00BA1455" w:rsidRPr="00551BF7">
        <w:rPr>
          <w:rFonts w:ascii="Arial" w:hAnsi="Arial" w:cs="Arial"/>
        </w:rPr>
        <w:t>Fe</w:t>
      </w:r>
      <w:r w:rsidR="00BA1455" w:rsidRPr="00551BF7">
        <w:rPr>
          <w:rFonts w:ascii="Arial" w:hAnsi="Arial" w:cs="Arial"/>
          <w:vertAlign w:val="subscript"/>
        </w:rPr>
        <w:t>5</w:t>
      </w:r>
      <w:r w:rsidR="00BA1455" w:rsidRPr="00551BF7">
        <w:rPr>
          <w:rFonts w:ascii="Arial" w:hAnsi="Arial" w:cs="Arial"/>
        </w:rPr>
        <w:t>(</w:t>
      </w:r>
      <w:r w:rsidR="007A4573" w:rsidRPr="00551BF7">
        <w:rPr>
          <w:rFonts w:ascii="Arial" w:hAnsi="Arial" w:cs="Arial"/>
        </w:rPr>
        <w:t>OH)(PO</w:t>
      </w:r>
      <w:r w:rsidR="007A4573" w:rsidRPr="00551BF7">
        <w:rPr>
          <w:rFonts w:ascii="Arial" w:hAnsi="Arial" w:cs="Arial"/>
          <w:vertAlign w:val="subscript"/>
        </w:rPr>
        <w:t>4</w:t>
      </w:r>
      <w:r w:rsidR="007A4573" w:rsidRPr="00551BF7">
        <w:rPr>
          <w:rFonts w:ascii="Arial" w:hAnsi="Arial" w:cs="Arial"/>
        </w:rPr>
        <w:t>)</w:t>
      </w:r>
      <w:r w:rsidR="007A4573" w:rsidRPr="00551BF7">
        <w:rPr>
          <w:rFonts w:ascii="Arial" w:hAnsi="Arial" w:cs="Arial"/>
          <w:vertAlign w:val="subscript"/>
        </w:rPr>
        <w:t>3</w:t>
      </w:r>
      <w:r w:rsidR="000B7F55" w:rsidRPr="00551BF7">
        <w:rPr>
          <w:rFonts w:ascii="Arial" w:hAnsi="Arial" w:cs="Arial"/>
        </w:rPr>
        <w:t xml:space="preserve">, </w:t>
      </w:r>
      <w:proofErr w:type="spellStart"/>
      <w:r w:rsidR="007A4573" w:rsidRPr="00551BF7">
        <w:rPr>
          <w:rFonts w:ascii="Arial" w:hAnsi="Arial" w:cs="Arial"/>
        </w:rPr>
        <w:t>ferryhydrite</w:t>
      </w:r>
      <w:proofErr w:type="spellEnd"/>
      <w:r w:rsidR="007A4573" w:rsidRPr="00551BF7">
        <w:rPr>
          <w:rFonts w:ascii="Arial" w:hAnsi="Arial" w:cs="Arial"/>
        </w:rPr>
        <w:t>, goethite, hematite, hydroxyapati</w:t>
      </w:r>
      <w:r w:rsidR="00335BB3" w:rsidRPr="00551BF7">
        <w:rPr>
          <w:rFonts w:ascii="Arial" w:hAnsi="Arial" w:cs="Arial"/>
        </w:rPr>
        <w:t xml:space="preserve">te, </w:t>
      </w:r>
      <w:proofErr w:type="spellStart"/>
      <w:r w:rsidR="00BA1455" w:rsidRPr="00551BF7">
        <w:rPr>
          <w:rFonts w:ascii="Arial" w:hAnsi="Arial" w:cs="Arial"/>
        </w:rPr>
        <w:t>lepidocrocite</w:t>
      </w:r>
      <w:proofErr w:type="spellEnd"/>
      <w:r w:rsidR="00BA1455" w:rsidRPr="00551BF7">
        <w:rPr>
          <w:rFonts w:ascii="Arial" w:hAnsi="Arial" w:cs="Arial"/>
        </w:rPr>
        <w:t xml:space="preserve">, </w:t>
      </w:r>
      <w:proofErr w:type="spellStart"/>
      <w:r w:rsidR="00BA1455" w:rsidRPr="00551BF7">
        <w:rPr>
          <w:rFonts w:ascii="Arial" w:hAnsi="Arial" w:cs="Arial"/>
        </w:rPr>
        <w:t>maghemite</w:t>
      </w:r>
      <w:proofErr w:type="spellEnd"/>
      <w:r w:rsidR="00BA1455" w:rsidRPr="00551BF7">
        <w:rPr>
          <w:rFonts w:ascii="Arial" w:hAnsi="Arial" w:cs="Arial"/>
        </w:rPr>
        <w:t xml:space="preserve">, </w:t>
      </w:r>
      <w:r w:rsidR="000B7F55" w:rsidRPr="00551BF7">
        <w:rPr>
          <w:rFonts w:ascii="Arial" w:hAnsi="Arial" w:cs="Arial"/>
        </w:rPr>
        <w:t>magnetite.</w:t>
      </w:r>
      <w:r w:rsidR="007D48D9" w:rsidRPr="00551BF7">
        <w:rPr>
          <w:rFonts w:ascii="Arial" w:hAnsi="Arial" w:cs="Arial"/>
        </w:rPr>
        <w:t xml:space="preserve"> </w:t>
      </w:r>
      <w:r w:rsidR="00E61D88" w:rsidRPr="00551BF7">
        <w:rPr>
          <w:rFonts w:ascii="Arial" w:hAnsi="Arial" w:cs="Arial"/>
        </w:rPr>
        <w:t>In contrast,</w:t>
      </w:r>
      <w:r w:rsidR="000B7F55" w:rsidRPr="00551BF7">
        <w:rPr>
          <w:rFonts w:ascii="Arial" w:hAnsi="Arial" w:cs="Arial"/>
        </w:rPr>
        <w:t xml:space="preserve"> magnesite changed from </w:t>
      </w:r>
      <w:proofErr w:type="spellStart"/>
      <w:r w:rsidR="000B7F55" w:rsidRPr="00551BF7">
        <w:rPr>
          <w:rFonts w:ascii="Arial" w:hAnsi="Arial" w:cs="Arial"/>
        </w:rPr>
        <w:t>undersaturated</w:t>
      </w:r>
      <w:proofErr w:type="spellEnd"/>
      <w:r w:rsidR="000B7F55" w:rsidRPr="00551BF7">
        <w:rPr>
          <w:rFonts w:ascii="Arial" w:hAnsi="Arial" w:cs="Arial"/>
        </w:rPr>
        <w:t xml:space="preserve"> to equilibrium phase.</w:t>
      </w:r>
      <w:r w:rsidR="0096759A" w:rsidRPr="00551BF7">
        <w:rPr>
          <w:rFonts w:ascii="Arial" w:hAnsi="Arial" w:cs="Arial"/>
        </w:rPr>
        <w:t xml:space="preserve"> </w:t>
      </w:r>
      <w:r w:rsidR="004D3BE8" w:rsidRPr="00551BF7">
        <w:rPr>
          <w:rFonts w:ascii="Arial" w:hAnsi="Arial" w:cs="Arial"/>
        </w:rPr>
        <w:t>T</w:t>
      </w:r>
      <w:r w:rsidR="00234789" w:rsidRPr="00551BF7">
        <w:rPr>
          <w:rFonts w:ascii="Arial" w:hAnsi="Arial" w:cs="Arial"/>
        </w:rPr>
        <w:t xml:space="preserve">he SI </w:t>
      </w:r>
      <w:r w:rsidR="004D3BE8" w:rsidRPr="00551BF7">
        <w:rPr>
          <w:rFonts w:ascii="Arial" w:hAnsi="Arial" w:cs="Arial"/>
        </w:rPr>
        <w:t xml:space="preserve">of </w:t>
      </w:r>
      <w:r w:rsidR="0096759A" w:rsidRPr="00551BF7">
        <w:rPr>
          <w:rFonts w:ascii="Arial" w:hAnsi="Arial" w:cs="Arial"/>
        </w:rPr>
        <w:t>gypsum</w:t>
      </w:r>
      <w:r w:rsidR="00F13623" w:rsidRPr="00551BF7">
        <w:rPr>
          <w:rFonts w:ascii="Arial" w:hAnsi="Arial" w:cs="Arial"/>
        </w:rPr>
        <w:t>, siderite and halite</w:t>
      </w:r>
      <w:r w:rsidR="0096759A" w:rsidRPr="00551BF7">
        <w:rPr>
          <w:rFonts w:ascii="Arial" w:hAnsi="Arial" w:cs="Arial"/>
        </w:rPr>
        <w:t xml:space="preserve"> remained </w:t>
      </w:r>
      <w:proofErr w:type="spellStart"/>
      <w:r w:rsidR="00342EA5" w:rsidRPr="00551BF7">
        <w:rPr>
          <w:rFonts w:ascii="Arial" w:hAnsi="Arial" w:cs="Arial"/>
        </w:rPr>
        <w:t>undersaturated</w:t>
      </w:r>
      <w:proofErr w:type="spellEnd"/>
      <w:r w:rsidR="00777C3C" w:rsidRPr="00551BF7">
        <w:rPr>
          <w:rFonts w:ascii="Arial" w:hAnsi="Arial" w:cs="Arial"/>
        </w:rPr>
        <w:t>, indicating that these minerals may be subject to continuous</w:t>
      </w:r>
      <w:r w:rsidR="00B21FC9" w:rsidRPr="00551BF7">
        <w:rPr>
          <w:rFonts w:ascii="Arial" w:hAnsi="Arial" w:cs="Arial"/>
        </w:rPr>
        <w:t xml:space="preserve"> </w:t>
      </w:r>
      <w:r w:rsidR="00777C3C" w:rsidRPr="00551BF7">
        <w:rPr>
          <w:rFonts w:ascii="Arial" w:hAnsi="Arial" w:cs="Arial"/>
        </w:rPr>
        <w:t>dissolution.</w:t>
      </w:r>
      <w:r w:rsidR="0096759A" w:rsidRPr="00551BF7">
        <w:rPr>
          <w:rFonts w:ascii="Arial" w:hAnsi="Arial" w:cs="Arial"/>
        </w:rPr>
        <w:t xml:space="preserve"> </w:t>
      </w:r>
      <w:r w:rsidR="00133163">
        <w:rPr>
          <w:rFonts w:ascii="Arial" w:hAnsi="Arial" w:cs="Arial"/>
        </w:rPr>
        <w:t xml:space="preserve">Groundwater </w:t>
      </w:r>
      <w:proofErr w:type="spellStart"/>
      <w:r w:rsidR="00133163">
        <w:rPr>
          <w:rFonts w:ascii="Arial" w:hAnsi="Arial" w:cs="Arial"/>
        </w:rPr>
        <w:t>h</w:t>
      </w:r>
      <w:r w:rsidR="003111C5" w:rsidRPr="00551BF7">
        <w:rPr>
          <w:rFonts w:ascii="Arial" w:hAnsi="Arial" w:cs="Arial"/>
        </w:rPr>
        <w:t>ydrogeochemical</w:t>
      </w:r>
      <w:proofErr w:type="spellEnd"/>
      <w:r w:rsidR="003111C5" w:rsidRPr="00551BF7">
        <w:rPr>
          <w:rFonts w:ascii="Arial" w:hAnsi="Arial" w:cs="Arial"/>
        </w:rPr>
        <w:t xml:space="preserve"> evolution is mainly controlled by </w:t>
      </w:r>
      <w:r w:rsidR="00F84629" w:rsidRPr="00551BF7">
        <w:rPr>
          <w:rFonts w:ascii="Arial" w:hAnsi="Arial" w:cs="Arial"/>
        </w:rPr>
        <w:t>carbonate mineral dissolutions,</w:t>
      </w:r>
      <w:r w:rsidR="0074189B" w:rsidRPr="00551BF7">
        <w:rPr>
          <w:rFonts w:ascii="Arial" w:hAnsi="Arial" w:cs="Arial"/>
        </w:rPr>
        <w:t xml:space="preserve"> cation exchange,</w:t>
      </w:r>
      <w:r w:rsidR="00F84629" w:rsidRPr="00551BF7">
        <w:rPr>
          <w:rFonts w:ascii="Arial" w:hAnsi="Arial" w:cs="Arial"/>
        </w:rPr>
        <w:t xml:space="preserve"> precipitation </w:t>
      </w:r>
      <w:r w:rsidR="003111C5" w:rsidRPr="00551BF7">
        <w:rPr>
          <w:rFonts w:ascii="Arial" w:hAnsi="Arial" w:cs="Arial"/>
        </w:rPr>
        <w:t>and</w:t>
      </w:r>
      <w:r w:rsidR="00F84629" w:rsidRPr="00551BF7">
        <w:rPr>
          <w:rFonts w:ascii="Arial" w:hAnsi="Arial" w:cs="Arial"/>
        </w:rPr>
        <w:t xml:space="preserve"> weathering</w:t>
      </w:r>
      <w:r w:rsidR="003111C5" w:rsidRPr="00551BF7">
        <w:rPr>
          <w:rFonts w:ascii="Arial" w:hAnsi="Arial" w:cs="Arial"/>
        </w:rPr>
        <w:t>.</w:t>
      </w:r>
    </w:p>
    <w:p w14:paraId="2B156CA4" w14:textId="77777777" w:rsidR="00694F40" w:rsidRPr="00C24F42" w:rsidRDefault="00694F40" w:rsidP="00D817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51BF7">
        <w:rPr>
          <w:rFonts w:ascii="Arial" w:hAnsi="Arial" w:cs="Arial"/>
          <w:b/>
        </w:rPr>
        <w:t>Keywords:</w:t>
      </w:r>
      <w:r w:rsidRPr="00551BF7">
        <w:rPr>
          <w:rFonts w:ascii="Arial" w:hAnsi="Arial" w:cs="Arial"/>
        </w:rPr>
        <w:t xml:space="preserve"> </w:t>
      </w:r>
      <w:proofErr w:type="spellStart"/>
      <w:r w:rsidR="00E33498" w:rsidRPr="00551BF7">
        <w:rPr>
          <w:rFonts w:ascii="Arial" w:hAnsi="Arial" w:cs="Arial"/>
        </w:rPr>
        <w:t>Hydrogeochemical</w:t>
      </w:r>
      <w:proofErr w:type="spellEnd"/>
      <w:r w:rsidR="00E33498" w:rsidRPr="00551BF7">
        <w:rPr>
          <w:rFonts w:ascii="Arial" w:hAnsi="Arial" w:cs="Arial"/>
        </w:rPr>
        <w:t xml:space="preserve"> processes</w:t>
      </w:r>
      <w:r w:rsidR="00F40D41" w:rsidRPr="00551BF7">
        <w:rPr>
          <w:rFonts w:ascii="Arial" w:hAnsi="Arial" w:cs="Arial"/>
        </w:rPr>
        <w:t>,</w:t>
      </w:r>
      <w:r w:rsidR="00E33498" w:rsidRPr="00551BF7">
        <w:rPr>
          <w:rFonts w:ascii="Arial" w:hAnsi="Arial" w:cs="Arial"/>
        </w:rPr>
        <w:t xml:space="preserve"> </w:t>
      </w:r>
      <w:r w:rsidR="009C6F82" w:rsidRPr="00551BF7">
        <w:rPr>
          <w:rFonts w:ascii="Arial" w:hAnsi="Arial" w:cs="Arial"/>
        </w:rPr>
        <w:t>geochemical</w:t>
      </w:r>
      <w:r w:rsidR="00F40D41" w:rsidRPr="00551BF7">
        <w:rPr>
          <w:rFonts w:ascii="Arial" w:hAnsi="Arial" w:cs="Arial"/>
        </w:rPr>
        <w:t xml:space="preserve"> modelling</w:t>
      </w:r>
      <w:r w:rsidR="000D01CC" w:rsidRPr="00551BF7">
        <w:rPr>
          <w:rFonts w:ascii="Arial" w:hAnsi="Arial" w:cs="Arial"/>
        </w:rPr>
        <w:t xml:space="preserve">, </w:t>
      </w:r>
      <w:r w:rsidRPr="00551BF7">
        <w:rPr>
          <w:rFonts w:ascii="Arial" w:hAnsi="Arial" w:cs="Arial"/>
        </w:rPr>
        <w:t>groundwater</w:t>
      </w:r>
      <w:r w:rsidR="004140A5" w:rsidRPr="00551BF7">
        <w:rPr>
          <w:rFonts w:ascii="Arial" w:hAnsi="Arial" w:cs="Arial"/>
        </w:rPr>
        <w:t xml:space="preserve"> quality</w:t>
      </w:r>
      <w:r w:rsidRPr="00551BF7">
        <w:rPr>
          <w:rFonts w:ascii="Arial" w:hAnsi="Arial" w:cs="Arial"/>
        </w:rPr>
        <w:t xml:space="preserve">, </w:t>
      </w:r>
      <w:r w:rsidR="00F40D41" w:rsidRPr="00D817D8">
        <w:rPr>
          <w:rFonts w:ascii="Arial" w:hAnsi="Arial" w:cs="Arial"/>
        </w:rPr>
        <w:t>PHREEQC</w:t>
      </w:r>
      <w:r w:rsidR="008C6D4B" w:rsidRPr="00D817D8">
        <w:rPr>
          <w:rFonts w:ascii="Arial" w:hAnsi="Arial" w:cs="Arial"/>
        </w:rPr>
        <w:t xml:space="preserve">, </w:t>
      </w:r>
      <w:r w:rsidR="00C30590" w:rsidRPr="00D817D8">
        <w:rPr>
          <w:rFonts w:ascii="Arial" w:hAnsi="Arial" w:cs="Arial"/>
        </w:rPr>
        <w:t>Namaqualand</w:t>
      </w:r>
      <w:r w:rsidR="00D817D8">
        <w:rPr>
          <w:rFonts w:ascii="Arial" w:hAnsi="Arial" w:cs="Arial"/>
        </w:rPr>
        <w:t>.</w:t>
      </w:r>
    </w:p>
    <w:p w14:paraId="6FF59482" w14:textId="77777777" w:rsidR="009C6EE8" w:rsidRPr="00C24F42" w:rsidRDefault="009C6EE8" w:rsidP="00D817D8">
      <w:pPr>
        <w:pStyle w:val="Body"/>
        <w:spacing w:before="240"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en-GB"/>
        </w:rPr>
      </w:pPr>
      <w:r w:rsidRPr="00C24F42">
        <w:rPr>
          <w:rFonts w:ascii="Arial" w:hAnsi="Arial" w:cs="Arial"/>
          <w:color w:val="auto"/>
          <w:sz w:val="16"/>
          <w:szCs w:val="16"/>
          <w:vertAlign w:val="superscript"/>
          <w:lang w:val="en-GB"/>
        </w:rPr>
        <w:t>1</w:t>
      </w:r>
      <w:r w:rsidRPr="00C24F42">
        <w:rPr>
          <w:rFonts w:ascii="Arial" w:hAnsi="Arial" w:cs="Arial"/>
          <w:color w:val="auto"/>
          <w:sz w:val="16"/>
          <w:szCs w:val="16"/>
          <w:lang w:val="en-GB"/>
        </w:rPr>
        <w:t>I.G. Erdogan, E. Fosso-Kankeu</w:t>
      </w:r>
      <w:r w:rsidR="003C28DE" w:rsidRPr="00C24F42">
        <w:rPr>
          <w:rFonts w:ascii="Arial" w:hAnsi="Arial" w:cs="Arial"/>
          <w:color w:val="auto"/>
          <w:sz w:val="16"/>
          <w:szCs w:val="16"/>
          <w:lang w:val="en-GB"/>
        </w:rPr>
        <w:t>, Seteno K.O. Ntwampe</w:t>
      </w:r>
      <w:r w:rsidRPr="00C24F42">
        <w:rPr>
          <w:rFonts w:ascii="Arial" w:hAnsi="Arial" w:cs="Arial"/>
          <w:color w:val="auto"/>
          <w:sz w:val="16"/>
          <w:szCs w:val="16"/>
          <w:lang w:val="en-GB"/>
        </w:rPr>
        <w:t xml:space="preserve">, and F. Waanders are with the Water Pollution Monitoring and Remediation Initiatives Research Group (WPMRIRG) in the </w:t>
      </w:r>
      <w:proofErr w:type="spellStart"/>
      <w:r w:rsidRPr="00C24F42">
        <w:rPr>
          <w:rFonts w:ascii="Arial" w:hAnsi="Arial" w:cs="Arial"/>
          <w:color w:val="auto"/>
          <w:sz w:val="16"/>
          <w:szCs w:val="16"/>
          <w:lang w:val="en-GB"/>
        </w:rPr>
        <w:t>CoE</w:t>
      </w:r>
      <w:proofErr w:type="spellEnd"/>
      <w:r w:rsidRPr="00C24F42">
        <w:rPr>
          <w:rFonts w:ascii="Arial" w:hAnsi="Arial" w:cs="Arial"/>
          <w:color w:val="auto"/>
          <w:sz w:val="16"/>
          <w:szCs w:val="16"/>
          <w:lang w:val="en-GB"/>
        </w:rPr>
        <w:t xml:space="preserve"> of C-based fuels School of Chemical and Minerals Engineering, North-West University, Potchefstroom, South Africa</w:t>
      </w:r>
      <w:r w:rsidR="003C28DE" w:rsidRPr="00C24F42">
        <w:rPr>
          <w:rFonts w:ascii="Arial" w:hAnsi="Arial" w:cs="Arial"/>
          <w:color w:val="auto"/>
          <w:sz w:val="16"/>
          <w:szCs w:val="16"/>
          <w:lang w:val="en-GB"/>
        </w:rPr>
        <w:t>.</w:t>
      </w:r>
    </w:p>
    <w:p w14:paraId="3B4F43A0" w14:textId="77777777" w:rsidR="009C6EE8" w:rsidRPr="00C24F42" w:rsidRDefault="009C6EE8" w:rsidP="00551BF7">
      <w:pPr>
        <w:pStyle w:val="Body"/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  <w:lang w:val="en-GB"/>
        </w:rPr>
      </w:pPr>
      <w:r w:rsidRPr="00C24F42">
        <w:rPr>
          <w:rFonts w:ascii="Arial" w:hAnsi="Arial" w:cs="Arial"/>
          <w:color w:val="auto"/>
          <w:sz w:val="16"/>
          <w:szCs w:val="16"/>
          <w:vertAlign w:val="superscript"/>
          <w:lang w:val="en-GB"/>
        </w:rPr>
        <w:t>2</w:t>
      </w:r>
      <w:r w:rsidRPr="00C24F42">
        <w:rPr>
          <w:rFonts w:ascii="Arial" w:hAnsi="Arial" w:cs="Arial"/>
          <w:color w:val="auto"/>
          <w:sz w:val="16"/>
          <w:szCs w:val="16"/>
          <w:lang w:val="en-GB"/>
        </w:rPr>
        <w:t xml:space="preserve">I.G. Erdogan </w:t>
      </w:r>
      <w:r w:rsidR="00E61D88" w:rsidRPr="00C24F42">
        <w:rPr>
          <w:rFonts w:ascii="Arial" w:hAnsi="Arial" w:cs="Arial"/>
          <w:color w:val="auto"/>
          <w:sz w:val="16"/>
          <w:szCs w:val="16"/>
          <w:lang w:val="en-GB"/>
        </w:rPr>
        <w:t>is</w:t>
      </w:r>
      <w:r w:rsidRPr="00C24F42">
        <w:rPr>
          <w:rFonts w:ascii="Arial" w:hAnsi="Arial" w:cs="Arial"/>
          <w:color w:val="auto"/>
          <w:sz w:val="16"/>
          <w:szCs w:val="16"/>
          <w:lang w:val="en-GB"/>
        </w:rPr>
        <w:t xml:space="preserve"> with the </w:t>
      </w:r>
      <w:proofErr w:type="spellStart"/>
      <w:r w:rsidRPr="00C24F42">
        <w:rPr>
          <w:rFonts w:ascii="Arial" w:hAnsi="Arial" w:cs="Arial"/>
          <w:color w:val="auto"/>
          <w:sz w:val="16"/>
          <w:szCs w:val="16"/>
          <w:lang w:val="en-GB"/>
        </w:rPr>
        <w:t>Bioresource</w:t>
      </w:r>
      <w:proofErr w:type="spellEnd"/>
      <w:r w:rsidRPr="00C24F42">
        <w:rPr>
          <w:rFonts w:ascii="Arial" w:hAnsi="Arial" w:cs="Arial"/>
          <w:color w:val="auto"/>
          <w:sz w:val="16"/>
          <w:szCs w:val="16"/>
          <w:lang w:val="en-GB"/>
        </w:rPr>
        <w:t xml:space="preserve"> Engineering Research Group (</w:t>
      </w:r>
      <w:r w:rsidRPr="00C24F42">
        <w:rPr>
          <w:rFonts w:ascii="Arial" w:hAnsi="Arial" w:cs="Arial"/>
          <w:iCs/>
          <w:color w:val="auto"/>
          <w:sz w:val="16"/>
          <w:szCs w:val="16"/>
          <w:lang w:val="en-GB"/>
        </w:rPr>
        <w:t>BioERG</w:t>
      </w:r>
      <w:r w:rsidRPr="00C24F42">
        <w:rPr>
          <w:rFonts w:ascii="Arial" w:hAnsi="Arial" w:cs="Arial"/>
          <w:color w:val="auto"/>
          <w:sz w:val="16"/>
          <w:szCs w:val="16"/>
          <w:lang w:val="en-GB"/>
        </w:rPr>
        <w:t>), Cape Peninsula University of Technology, Cape Town, South Africa</w:t>
      </w:r>
    </w:p>
    <w:p w14:paraId="6AE22977" w14:textId="77777777" w:rsidR="009C6EE8" w:rsidRPr="00C24F42" w:rsidRDefault="009C6EE8" w:rsidP="00551BF7">
      <w:pPr>
        <w:pStyle w:val="Body"/>
        <w:spacing w:after="0" w:line="240" w:lineRule="auto"/>
        <w:jc w:val="both"/>
        <w:rPr>
          <w:rFonts w:ascii="Arial" w:eastAsia="Times New Roman" w:hAnsi="Arial" w:cs="Arial"/>
          <w:color w:val="auto"/>
          <w:sz w:val="16"/>
          <w:szCs w:val="16"/>
          <w:lang w:val="en-GB"/>
        </w:rPr>
      </w:pPr>
      <w:r w:rsidRPr="00C24F42">
        <w:rPr>
          <w:rFonts w:ascii="Arial" w:hAnsi="Arial" w:cs="Arial"/>
          <w:color w:val="auto"/>
          <w:sz w:val="16"/>
          <w:szCs w:val="16"/>
          <w:vertAlign w:val="superscript"/>
          <w:lang w:val="en-GB"/>
        </w:rPr>
        <w:t>3</w:t>
      </w:r>
      <w:r w:rsidRPr="00C24F42">
        <w:rPr>
          <w:rFonts w:ascii="Arial" w:hAnsi="Arial" w:cs="Arial"/>
          <w:color w:val="auto"/>
          <w:sz w:val="16"/>
          <w:szCs w:val="16"/>
          <w:lang w:val="en-GB"/>
        </w:rPr>
        <w:t xml:space="preserve"> I.G. Erdogan are with the Faculty of Engineering and the Built Environment, Chemical Engineering Department, Cape Peninsula University of Technology, Cape Town, South Africa</w:t>
      </w:r>
      <w:r w:rsidR="003C28DE" w:rsidRPr="00C24F42">
        <w:rPr>
          <w:rFonts w:ascii="Arial" w:hAnsi="Arial" w:cs="Arial"/>
          <w:color w:val="auto"/>
          <w:sz w:val="16"/>
          <w:szCs w:val="16"/>
          <w:lang w:val="en-GB"/>
        </w:rPr>
        <w:t>.</w:t>
      </w:r>
    </w:p>
    <w:p w14:paraId="015D99FE" w14:textId="77777777" w:rsidR="00C24F42" w:rsidRPr="00D817D8" w:rsidRDefault="00C3539A" w:rsidP="00D817D8">
      <w:pPr>
        <w:rPr>
          <w:rFonts w:ascii="Arial" w:hAnsi="Arial" w:cs="Arial"/>
          <w:i/>
          <w:sz w:val="16"/>
          <w:szCs w:val="16"/>
        </w:rPr>
      </w:pPr>
      <w:r w:rsidRPr="00D817D8">
        <w:rPr>
          <w:rFonts w:ascii="Arial" w:hAnsi="Arial" w:cs="Arial"/>
          <w:sz w:val="16"/>
          <w:szCs w:val="16"/>
          <w:vertAlign w:val="superscript"/>
        </w:rPr>
        <w:t>4</w:t>
      </w:r>
      <w:r w:rsidR="001E3ED6" w:rsidRPr="00D817D8">
        <w:rPr>
          <w:rFonts w:ascii="Arial" w:hAnsi="Arial" w:cs="Arial"/>
          <w:sz w:val="16"/>
          <w:szCs w:val="16"/>
        </w:rPr>
        <w:t xml:space="preserve"> Molecular Sciences Institute, School of Chemistry, University of the Witwatersrand, </w:t>
      </w:r>
      <w:r w:rsidR="004040C2" w:rsidRPr="00D817D8">
        <w:rPr>
          <w:rFonts w:ascii="Arial" w:hAnsi="Arial" w:cs="Arial"/>
          <w:sz w:val="16"/>
          <w:szCs w:val="16"/>
        </w:rPr>
        <w:t>Johannesburg</w:t>
      </w:r>
      <w:r w:rsidR="001E3ED6" w:rsidRPr="00D817D8">
        <w:rPr>
          <w:rFonts w:ascii="Arial" w:hAnsi="Arial" w:cs="Arial"/>
          <w:sz w:val="16"/>
          <w:szCs w:val="16"/>
        </w:rPr>
        <w:t>, South Africa</w:t>
      </w:r>
      <w:r w:rsidR="00C24F42" w:rsidRPr="00D817D8">
        <w:rPr>
          <w:rFonts w:ascii="Arial" w:hAnsi="Arial" w:cs="Arial"/>
          <w:i/>
          <w:sz w:val="16"/>
          <w:szCs w:val="16"/>
        </w:rPr>
        <w:t>.</w:t>
      </w:r>
    </w:p>
    <w:p w14:paraId="7EE95E24" w14:textId="77777777" w:rsidR="00C24F42" w:rsidRPr="00C24F42" w:rsidRDefault="009C6EE8" w:rsidP="00C24F42">
      <w:pPr>
        <w:pStyle w:val="AdressLines"/>
        <w:jc w:val="left"/>
        <w:rPr>
          <w:rFonts w:ascii="Arial" w:hAnsi="Arial" w:cs="Arial"/>
          <w:b/>
          <w:i w:val="0"/>
          <w:sz w:val="16"/>
          <w:szCs w:val="16"/>
        </w:rPr>
      </w:pPr>
      <w:r w:rsidRPr="00C24F42">
        <w:rPr>
          <w:rFonts w:ascii="Arial" w:hAnsi="Arial" w:cs="Arial"/>
          <w:i w:val="0"/>
          <w:sz w:val="16"/>
          <w:szCs w:val="16"/>
        </w:rPr>
        <w:t>*Corresponding author.</w:t>
      </w:r>
      <w:r w:rsidR="00C24F42" w:rsidRPr="00C24F42">
        <w:rPr>
          <w:rFonts w:ascii="Arial" w:hAnsi="Arial" w:cs="Arial"/>
          <w:i w:val="0"/>
          <w:sz w:val="16"/>
          <w:szCs w:val="16"/>
        </w:rPr>
        <w:t xml:space="preserve"> +27 (18) 299 1659; Email: </w:t>
      </w:r>
      <w:hyperlink r:id="rId11" w:history="1">
        <w:r w:rsidR="00C24F42" w:rsidRPr="00C24F42">
          <w:rPr>
            <w:rStyle w:val="Hyperlink"/>
            <w:rFonts w:ascii="Arial" w:hAnsi="Arial" w:cs="Arial"/>
            <w:i w:val="0"/>
            <w:sz w:val="16"/>
            <w:szCs w:val="16"/>
            <w14:ligatures w14:val="standard"/>
          </w:rPr>
          <w:t>Elvis.FossoKankeu@nwu.ac.za</w:t>
        </w:r>
      </w:hyperlink>
    </w:p>
    <w:p w14:paraId="59CD861C" w14:textId="77777777" w:rsidR="00611D3B" w:rsidRPr="00C24F42" w:rsidRDefault="00601D96" w:rsidP="00551BF7">
      <w:pPr>
        <w:pStyle w:val="Body"/>
        <w:spacing w:after="0" w:line="240" w:lineRule="auto"/>
        <w:jc w:val="both"/>
        <w:rPr>
          <w:rStyle w:val="Hyperlink"/>
          <w:rFonts w:ascii="Arial" w:hAnsi="Arial" w:cs="Arial"/>
          <w:color w:val="auto"/>
          <w:sz w:val="16"/>
          <w:szCs w:val="16"/>
          <w:lang w:val="en-GB"/>
        </w:rPr>
      </w:pPr>
      <w:hyperlink r:id="rId12" w:history="1"/>
    </w:p>
    <w:p w14:paraId="3C9ECF4B" w14:textId="77777777" w:rsidR="00611D3B" w:rsidRPr="00551BF7" w:rsidRDefault="00611D3B" w:rsidP="00551BF7">
      <w:pPr>
        <w:rPr>
          <w:rStyle w:val="Hyperlink"/>
          <w:rFonts w:ascii="Arial" w:hAnsi="Arial" w:cs="Arial"/>
          <w:color w:val="auto"/>
          <w:sz w:val="16"/>
          <w:szCs w:val="16"/>
        </w:rPr>
      </w:pPr>
      <w:r w:rsidRPr="00551BF7">
        <w:rPr>
          <w:rStyle w:val="Hyperlink"/>
          <w:rFonts w:ascii="Arial" w:hAnsi="Arial" w:cs="Arial"/>
          <w:color w:val="auto"/>
          <w:sz w:val="16"/>
          <w:szCs w:val="16"/>
        </w:rPr>
        <w:br w:type="page"/>
      </w:r>
    </w:p>
    <w:p w14:paraId="33833209" w14:textId="77777777" w:rsidR="000078C2" w:rsidRPr="000E4E58" w:rsidRDefault="00AD591A" w:rsidP="000E4E58">
      <w:pPr>
        <w:pStyle w:val="Heading2"/>
        <w:rPr>
          <w:rFonts w:ascii="Arial" w:hAnsi="Arial" w:cs="Arial"/>
          <w:b/>
          <w:iCs/>
          <w:smallCaps/>
          <w:color w:val="auto"/>
          <w:sz w:val="20"/>
          <w:szCs w:val="20"/>
        </w:rPr>
      </w:pPr>
      <w:r w:rsidRPr="000E4E58">
        <w:rPr>
          <w:rFonts w:ascii="Arial" w:hAnsi="Arial" w:cs="Arial"/>
          <w:b/>
          <w:smallCaps/>
          <w:color w:val="auto"/>
          <w:sz w:val="20"/>
          <w:szCs w:val="20"/>
        </w:rPr>
        <w:lastRenderedPageBreak/>
        <w:t>s</w:t>
      </w:r>
      <w:r w:rsidR="000078C2" w:rsidRPr="000E4E58">
        <w:rPr>
          <w:rFonts w:ascii="Arial" w:hAnsi="Arial" w:cs="Arial"/>
          <w:b/>
          <w:smallCaps/>
          <w:color w:val="auto"/>
          <w:sz w:val="20"/>
          <w:szCs w:val="20"/>
        </w:rPr>
        <w:t xml:space="preserve">pecification </w:t>
      </w:r>
      <w:r w:rsidRPr="000E4E58">
        <w:rPr>
          <w:rFonts w:ascii="Arial" w:hAnsi="Arial" w:cs="Arial"/>
          <w:b/>
          <w:smallCaps/>
          <w:color w:val="auto"/>
          <w:sz w:val="20"/>
          <w:szCs w:val="20"/>
        </w:rPr>
        <w:t>t</w:t>
      </w:r>
      <w:r w:rsidR="000078C2" w:rsidRPr="000E4E58">
        <w:rPr>
          <w:rFonts w:ascii="Arial" w:hAnsi="Arial" w:cs="Arial"/>
          <w:b/>
          <w:smallCaps/>
          <w:color w:val="auto"/>
          <w:sz w:val="20"/>
          <w:szCs w:val="20"/>
        </w:rPr>
        <w:t>able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791"/>
      </w:tblGrid>
      <w:tr w:rsidR="000078C2" w:rsidRPr="00551BF7" w14:paraId="5F104CF1" w14:textId="77777777" w:rsidTr="0000183B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492D" w14:textId="77777777" w:rsidR="000078C2" w:rsidRPr="00551BF7" w:rsidRDefault="000078C2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Subject area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B2F3F" w14:textId="77777777" w:rsidR="000078C2" w:rsidRPr="00551BF7" w:rsidRDefault="000078C2" w:rsidP="00551BF7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1BF7">
              <w:rPr>
                <w:rFonts w:ascii="Arial" w:hAnsi="Arial" w:cs="Arial"/>
                <w:sz w:val="20"/>
                <w:szCs w:val="20"/>
              </w:rPr>
              <w:t>Hydrogeochemical</w:t>
            </w:r>
            <w:proofErr w:type="spellEnd"/>
            <w:r w:rsidRPr="00551BF7">
              <w:rPr>
                <w:rFonts w:ascii="Arial" w:hAnsi="Arial" w:cs="Arial"/>
                <w:sz w:val="20"/>
                <w:szCs w:val="20"/>
              </w:rPr>
              <w:t xml:space="preserve"> modelling, </w:t>
            </w:r>
            <w:r w:rsidR="00D87B4F" w:rsidRPr="00551BF7">
              <w:rPr>
                <w:rFonts w:ascii="Arial" w:hAnsi="Arial" w:cs="Arial"/>
                <w:sz w:val="20"/>
                <w:szCs w:val="20"/>
              </w:rPr>
              <w:t xml:space="preserve">geohydrology, </w:t>
            </w:r>
            <w:r w:rsidRPr="00551BF7">
              <w:rPr>
                <w:rFonts w:ascii="Arial" w:hAnsi="Arial" w:cs="Arial"/>
                <w:sz w:val="20"/>
                <w:szCs w:val="20"/>
              </w:rPr>
              <w:t>groundwater</w:t>
            </w:r>
            <w:r w:rsidR="00D87B4F" w:rsidRPr="00551BF7">
              <w:rPr>
                <w:rFonts w:ascii="Arial" w:hAnsi="Arial" w:cs="Arial"/>
                <w:sz w:val="20"/>
                <w:szCs w:val="20"/>
              </w:rPr>
              <w:t xml:space="preserve"> quality</w:t>
            </w:r>
            <w:r w:rsidRPr="00551BF7">
              <w:rPr>
                <w:rFonts w:ascii="Arial" w:hAnsi="Arial" w:cs="Arial"/>
                <w:sz w:val="20"/>
                <w:szCs w:val="20"/>
              </w:rPr>
              <w:t xml:space="preserve">, PHREEQC </w:t>
            </w:r>
          </w:p>
        </w:tc>
      </w:tr>
      <w:tr w:rsidR="000078C2" w:rsidRPr="00551BF7" w14:paraId="104032D1" w14:textId="77777777" w:rsidTr="0000183B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9737" w14:textId="77777777" w:rsidR="000078C2" w:rsidRPr="00551BF7" w:rsidRDefault="000078C2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More specific subject area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9CE68" w14:textId="77777777" w:rsidR="000078C2" w:rsidRPr="00551BF7" w:rsidRDefault="000078C2" w:rsidP="00551BF7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1BF7">
              <w:rPr>
                <w:rFonts w:ascii="Arial" w:hAnsi="Arial" w:cs="Arial"/>
                <w:sz w:val="20"/>
                <w:szCs w:val="20"/>
              </w:rPr>
              <w:t>Hydrogeochemical</w:t>
            </w:r>
            <w:proofErr w:type="spellEnd"/>
            <w:r w:rsidRPr="00551BF7">
              <w:rPr>
                <w:rFonts w:ascii="Arial" w:hAnsi="Arial" w:cs="Arial"/>
                <w:sz w:val="20"/>
                <w:szCs w:val="20"/>
              </w:rPr>
              <w:t xml:space="preserve"> modelling</w:t>
            </w:r>
          </w:p>
        </w:tc>
      </w:tr>
      <w:tr w:rsidR="000078C2" w:rsidRPr="00551BF7" w14:paraId="780D2CCF" w14:textId="77777777" w:rsidTr="0000183B">
        <w:trPr>
          <w:trHeight w:val="449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36E6" w14:textId="77777777" w:rsidR="000078C2" w:rsidRPr="00551BF7" w:rsidRDefault="000078C2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Type of data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8C727" w14:textId="77777777" w:rsidR="000078C2" w:rsidRPr="00551BF7" w:rsidRDefault="000078C2" w:rsidP="00551BF7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 xml:space="preserve">Table </w:t>
            </w:r>
          </w:p>
        </w:tc>
      </w:tr>
      <w:tr w:rsidR="000078C2" w:rsidRPr="00551BF7" w14:paraId="1B36E7C5" w14:textId="77777777" w:rsidTr="0000183B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F4F7" w14:textId="77777777" w:rsidR="000078C2" w:rsidRPr="00551BF7" w:rsidRDefault="000078C2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 xml:space="preserve">How data was acquired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E73A2" w14:textId="77777777" w:rsidR="000078C2" w:rsidRPr="00551BF7" w:rsidRDefault="000078C2" w:rsidP="00551BF7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PHREEQC Version 3 is a computer program for s</w:t>
            </w:r>
            <w:r w:rsidR="00441109" w:rsidRPr="00551BF7">
              <w:rPr>
                <w:rFonts w:ascii="Arial" w:hAnsi="Arial" w:cs="Arial"/>
                <w:sz w:val="20"/>
                <w:szCs w:val="20"/>
              </w:rPr>
              <w:t>peciation, batch-reaction, one-d</w:t>
            </w:r>
            <w:r w:rsidRPr="00551BF7">
              <w:rPr>
                <w:rFonts w:ascii="Arial" w:hAnsi="Arial" w:cs="Arial"/>
                <w:sz w:val="20"/>
                <w:szCs w:val="20"/>
              </w:rPr>
              <w:t xml:space="preserve">imensional transport, and inverse geochemical computations modelling for reactions in water to understand </w:t>
            </w:r>
            <w:r w:rsidR="00441109" w:rsidRPr="00551BF7">
              <w:rPr>
                <w:rFonts w:ascii="Arial" w:hAnsi="Arial" w:cs="Arial"/>
                <w:sz w:val="20"/>
                <w:szCs w:val="20"/>
              </w:rPr>
              <w:t>groundwater</w:t>
            </w:r>
            <w:r w:rsidRPr="00551BF7">
              <w:rPr>
                <w:rFonts w:ascii="Arial" w:hAnsi="Arial" w:cs="Arial"/>
                <w:sz w:val="20"/>
                <w:szCs w:val="20"/>
              </w:rPr>
              <w:t xml:space="preserve"> and aquifer rock interactions. Equilibrium constants </w:t>
            </w:r>
            <w:r w:rsidR="00441109" w:rsidRPr="00551BF7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Pr="00551BF7">
              <w:rPr>
                <w:rFonts w:ascii="Arial" w:hAnsi="Arial" w:cs="Arial"/>
                <w:sz w:val="20"/>
                <w:szCs w:val="20"/>
              </w:rPr>
              <w:t xml:space="preserve">not fixed into the coding of the software to accommodate </w:t>
            </w:r>
            <w:r w:rsidR="00DC3B7F" w:rsidRPr="00551BF7">
              <w:rPr>
                <w:rFonts w:ascii="Arial" w:hAnsi="Arial" w:cs="Arial"/>
                <w:sz w:val="20"/>
                <w:szCs w:val="20"/>
              </w:rPr>
              <w:t>variations</w:t>
            </w:r>
            <w:r w:rsidRPr="00551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B7F" w:rsidRPr="00551BF7">
              <w:rPr>
                <w:rFonts w:ascii="Arial" w:hAnsi="Arial" w:cs="Arial"/>
                <w:sz w:val="20"/>
                <w:szCs w:val="20"/>
              </w:rPr>
              <w:t>of</w:t>
            </w:r>
            <w:r w:rsidRPr="00551BF7">
              <w:rPr>
                <w:rFonts w:ascii="Arial" w:hAnsi="Arial" w:cs="Arial"/>
                <w:sz w:val="20"/>
                <w:szCs w:val="20"/>
              </w:rPr>
              <w:t xml:space="preserve"> the equilibrium constants. PHREEQC and EQ3/6 enable the user to manipulate the database and input files to change equilibrium constants when </w:t>
            </w:r>
            <w:r w:rsidR="00DC3B7F" w:rsidRPr="00551BF7">
              <w:rPr>
                <w:rFonts w:ascii="Arial" w:hAnsi="Arial" w:cs="Arial"/>
                <w:sz w:val="20"/>
                <w:szCs w:val="20"/>
              </w:rPr>
              <w:t>desired</w:t>
            </w:r>
            <w:r w:rsidRPr="00551B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78C2" w:rsidRPr="00551BF7" w14:paraId="09715A43" w14:textId="77777777" w:rsidTr="00D67813">
        <w:trPr>
          <w:trHeight w:val="529"/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22D8" w14:textId="77777777" w:rsidR="000078C2" w:rsidRPr="00551BF7" w:rsidRDefault="000078C2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Data format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38DBC" w14:textId="77777777" w:rsidR="000078C2" w:rsidRPr="00551BF7" w:rsidRDefault="000078C2" w:rsidP="00551BF7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Raw Data</w:t>
            </w:r>
          </w:p>
        </w:tc>
      </w:tr>
      <w:tr w:rsidR="000078C2" w:rsidRPr="00551BF7" w14:paraId="79968FE8" w14:textId="77777777" w:rsidTr="0000183B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84A5" w14:textId="77777777" w:rsidR="000078C2" w:rsidRPr="00551BF7" w:rsidRDefault="000078C2" w:rsidP="00551B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Experimental features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D92A6" w14:textId="77777777" w:rsidR="000078C2" w:rsidRPr="00551BF7" w:rsidRDefault="00366FB3" w:rsidP="00551BF7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 xml:space="preserve">Namaqualand, </w:t>
            </w:r>
            <w:r w:rsidR="000078C2" w:rsidRPr="00551BF7">
              <w:rPr>
                <w:rFonts w:ascii="Arial" w:hAnsi="Arial" w:cs="Arial"/>
                <w:sz w:val="20"/>
                <w:szCs w:val="20"/>
              </w:rPr>
              <w:t xml:space="preserve">South Africa </w:t>
            </w:r>
            <w:r w:rsidR="000E7F74" w:rsidRPr="00551BF7">
              <w:rPr>
                <w:rFonts w:ascii="Arial" w:hAnsi="Arial" w:cs="Arial"/>
                <w:sz w:val="20"/>
                <w:szCs w:val="20"/>
              </w:rPr>
              <w:t>[30°5'16.0692''S 17°34' 50.4768''E]</w:t>
            </w:r>
          </w:p>
          <w:p w14:paraId="44BFA293" w14:textId="77777777" w:rsidR="000078C2" w:rsidRPr="00551BF7" w:rsidRDefault="000078C2" w:rsidP="00551BF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 xml:space="preserve">Sample preparation: Cape Peninsula University of Technology, </w:t>
            </w:r>
            <w:r w:rsidRPr="00551BF7">
              <w:rPr>
                <w:rFonts w:ascii="Arial" w:hAnsi="Arial" w:cs="Arial"/>
                <w:i/>
                <w:sz w:val="20"/>
                <w:szCs w:val="20"/>
              </w:rPr>
              <w:t>BioERG</w:t>
            </w:r>
            <w:r w:rsidRPr="00551BF7">
              <w:rPr>
                <w:rFonts w:ascii="Arial" w:hAnsi="Arial" w:cs="Arial"/>
                <w:sz w:val="20"/>
                <w:szCs w:val="20"/>
              </w:rPr>
              <w:t xml:space="preserve"> laboratory, Cape Town, South Africa</w:t>
            </w:r>
          </w:p>
          <w:p w14:paraId="06CCCB0E" w14:textId="77777777" w:rsidR="000078C2" w:rsidRPr="00551BF7" w:rsidRDefault="000078C2" w:rsidP="00551BF7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[-33°93′0950″S, 18°43′3531″E]</w:t>
            </w:r>
          </w:p>
        </w:tc>
      </w:tr>
      <w:tr w:rsidR="000078C2" w:rsidRPr="00551BF7" w14:paraId="30D3FAAA" w14:textId="77777777" w:rsidTr="0000183B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9D7C" w14:textId="77777777" w:rsidR="000078C2" w:rsidRPr="00551BF7" w:rsidRDefault="000078C2" w:rsidP="00551B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Data source and location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56E98" w14:textId="77777777" w:rsidR="000078C2" w:rsidRPr="00551BF7" w:rsidRDefault="001B0949" w:rsidP="00551BF7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Groundwater from boreholes in</w:t>
            </w:r>
            <w:r w:rsidR="000078C2" w:rsidRPr="00551BF7">
              <w:rPr>
                <w:rFonts w:ascii="Arial" w:hAnsi="Arial" w:cs="Arial"/>
                <w:sz w:val="20"/>
                <w:szCs w:val="20"/>
              </w:rPr>
              <w:t xml:space="preserve"> Namaqualand, South Africa</w:t>
            </w:r>
          </w:p>
          <w:p w14:paraId="5A20A12C" w14:textId="77777777" w:rsidR="000078C2" w:rsidRPr="00551BF7" w:rsidRDefault="000078C2" w:rsidP="00551BF7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[</w:t>
            </w:r>
            <w:r w:rsidR="000E7F74" w:rsidRPr="00551BF7">
              <w:rPr>
                <w:rFonts w:ascii="Arial" w:hAnsi="Arial" w:cs="Arial"/>
                <w:sz w:val="20"/>
                <w:szCs w:val="20"/>
              </w:rPr>
              <w:t>30°</w:t>
            </w:r>
            <w:r w:rsidR="00AB6DFD" w:rsidRPr="00551BF7">
              <w:rPr>
                <w:rFonts w:ascii="Arial" w:hAnsi="Arial" w:cs="Arial"/>
                <w:sz w:val="20"/>
                <w:szCs w:val="20"/>
              </w:rPr>
              <w:t>5'16.0692''S 17°34' 50.4768''E</w:t>
            </w:r>
            <w:r w:rsidRPr="00551BF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078C2" w:rsidRPr="00551BF7" w14:paraId="65961A43" w14:textId="77777777" w:rsidTr="0000183B">
        <w:trPr>
          <w:jc w:val="center"/>
        </w:trPr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4411E4" w14:textId="77777777" w:rsidR="000078C2" w:rsidRPr="00551BF7" w:rsidRDefault="000078C2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Data accessibility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F3245" w14:textId="77777777" w:rsidR="000078C2" w:rsidRPr="00551BF7" w:rsidRDefault="00E61D88" w:rsidP="00551BF7">
            <w:pPr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The US Geological Survey developed PHREEQC software</w:t>
            </w:r>
            <w:r w:rsidR="000078C2" w:rsidRPr="00551BF7">
              <w:rPr>
                <w:rFonts w:ascii="Arial" w:hAnsi="Arial" w:cs="Arial"/>
                <w:sz w:val="20"/>
                <w:szCs w:val="20"/>
              </w:rPr>
              <w:t xml:space="preserve"> with speciation and reaction path program features. The software makes use of a C</w:t>
            </w:r>
            <w:r w:rsidR="000078C2" w:rsidRPr="00551BF7">
              <w:rPr>
                <w:rFonts w:ascii="Arial" w:hAnsi="Arial" w:cs="Arial"/>
                <w:sz w:val="20"/>
                <w:szCs w:val="20"/>
                <w:vertAlign w:val="superscript"/>
              </w:rPr>
              <w:t>++</w:t>
            </w:r>
            <w:r w:rsidR="000078C2" w:rsidRPr="00551BF7">
              <w:rPr>
                <w:rFonts w:ascii="Arial" w:hAnsi="Arial" w:cs="Arial"/>
                <w:sz w:val="20"/>
                <w:szCs w:val="20"/>
              </w:rPr>
              <w:t xml:space="preserve"> programming language to compute speciation, solubility, reaction pathways and inverse geochemical mass balance modelling. The program does consider analytical uncertainties. PHREEQC has no licence obligations</w:t>
            </w:r>
            <w:r w:rsidRPr="00551BF7">
              <w:rPr>
                <w:rFonts w:ascii="Arial" w:hAnsi="Arial" w:cs="Arial"/>
                <w:sz w:val="20"/>
                <w:szCs w:val="20"/>
              </w:rPr>
              <w:t>,</w:t>
            </w:r>
            <w:r w:rsidR="000078C2" w:rsidRPr="00551BF7">
              <w:rPr>
                <w:rFonts w:ascii="Arial" w:hAnsi="Arial" w:cs="Arial"/>
                <w:sz w:val="20"/>
                <w:szCs w:val="20"/>
              </w:rPr>
              <w:t xml:space="preserve"> and permission is not required from the USGS. PHREEQC is downloadable from </w:t>
            </w:r>
            <w:hyperlink r:id="rId13" w:history="1">
              <w:r w:rsidR="000078C2" w:rsidRPr="00551B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https://www.usgs.gov/core-science-systems/ngp/national-hydrography</w:t>
              </w:r>
            </w:hyperlink>
          </w:p>
          <w:p w14:paraId="21E83DC3" w14:textId="77777777" w:rsidR="000078C2" w:rsidRPr="00551BF7" w:rsidRDefault="000078C2" w:rsidP="00551B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A5910" w14:textId="77777777" w:rsidR="000078C2" w:rsidRPr="002421D2" w:rsidRDefault="000078C2" w:rsidP="002421D2">
      <w:pPr>
        <w:spacing w:after="0" w:line="360" w:lineRule="auto"/>
        <w:jc w:val="both"/>
        <w:rPr>
          <w:rFonts w:ascii="Arial" w:hAnsi="Arial" w:cs="Arial"/>
        </w:rPr>
      </w:pPr>
    </w:p>
    <w:p w14:paraId="52B79F5E" w14:textId="77777777" w:rsidR="00A6457D" w:rsidRPr="002421D2" w:rsidRDefault="00AD591A" w:rsidP="002421D2">
      <w:pPr>
        <w:pStyle w:val="Heading2"/>
        <w:rPr>
          <w:rFonts w:ascii="Arial" w:hAnsi="Arial" w:cs="Arial"/>
          <w:b/>
          <w:smallCaps/>
          <w:color w:val="auto"/>
          <w:sz w:val="22"/>
          <w:szCs w:val="22"/>
        </w:rPr>
      </w:pPr>
      <w:r w:rsidRPr="002421D2">
        <w:rPr>
          <w:rFonts w:ascii="Arial" w:hAnsi="Arial" w:cs="Arial"/>
          <w:b/>
          <w:smallCaps/>
          <w:color w:val="auto"/>
          <w:sz w:val="22"/>
          <w:szCs w:val="22"/>
        </w:rPr>
        <w:t>v</w:t>
      </w:r>
      <w:r w:rsidR="00A6457D" w:rsidRPr="002421D2">
        <w:rPr>
          <w:rFonts w:ascii="Arial" w:hAnsi="Arial" w:cs="Arial"/>
          <w:b/>
          <w:smallCaps/>
          <w:color w:val="auto"/>
          <w:sz w:val="22"/>
          <w:szCs w:val="22"/>
        </w:rPr>
        <w:t>alue of the data</w:t>
      </w:r>
    </w:p>
    <w:p w14:paraId="6969A9D8" w14:textId="77777777" w:rsidR="007F17CC" w:rsidRPr="00551BF7" w:rsidRDefault="00A6457D" w:rsidP="002421D2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Arial" w:hAnsi="Arial" w:cs="Arial"/>
        </w:rPr>
      </w:pPr>
      <w:r w:rsidRPr="00551BF7">
        <w:rPr>
          <w:rFonts w:ascii="Arial" w:hAnsi="Arial" w:cs="Arial"/>
        </w:rPr>
        <w:t>Several areas in Namaqualand are affected by elevated levels of potential</w:t>
      </w:r>
      <w:r w:rsidR="00E61D88" w:rsidRPr="00551BF7">
        <w:rPr>
          <w:rFonts w:ascii="Arial" w:hAnsi="Arial" w:cs="Arial"/>
        </w:rPr>
        <w:t>ly</w:t>
      </w:r>
      <w:r w:rsidRPr="00551BF7">
        <w:rPr>
          <w:rFonts w:ascii="Arial" w:hAnsi="Arial" w:cs="Arial"/>
        </w:rPr>
        <w:t xml:space="preserve"> toxic elements (PTE</w:t>
      </w:r>
      <w:r w:rsidR="00E61D88" w:rsidRPr="00551BF7">
        <w:rPr>
          <w:rFonts w:ascii="Arial" w:hAnsi="Arial" w:cs="Arial"/>
        </w:rPr>
        <w:t>'</w:t>
      </w:r>
      <w:r w:rsidRPr="00551BF7">
        <w:rPr>
          <w:rFonts w:ascii="Arial" w:hAnsi="Arial" w:cs="Arial"/>
        </w:rPr>
        <w:t>s) with their source being attributed to groundwater contamination</w:t>
      </w:r>
      <w:r w:rsidR="007F17CC" w:rsidRPr="00551BF7">
        <w:rPr>
          <w:rFonts w:ascii="Arial" w:hAnsi="Arial" w:cs="Arial"/>
        </w:rPr>
        <w:t>.</w:t>
      </w:r>
    </w:p>
    <w:p w14:paraId="15A5B55D" w14:textId="77777777" w:rsidR="00A6457D" w:rsidRPr="00551BF7" w:rsidRDefault="00DA2349" w:rsidP="00551BF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51BF7">
        <w:rPr>
          <w:rFonts w:ascii="Arial" w:hAnsi="Arial" w:cs="Arial"/>
        </w:rPr>
        <w:lastRenderedPageBreak/>
        <w:t xml:space="preserve">In the study of </w:t>
      </w:r>
      <w:r w:rsidR="007F17CC" w:rsidRPr="00551BF7">
        <w:rPr>
          <w:rFonts w:ascii="Arial" w:hAnsi="Arial" w:cs="Arial"/>
        </w:rPr>
        <w:fldChar w:fldCharType="begin"/>
      </w:r>
      <w:r w:rsidR="007F17CC" w:rsidRPr="00551BF7">
        <w:rPr>
          <w:rFonts w:ascii="Arial" w:hAnsi="Arial" w:cs="Arial"/>
        </w:rPr>
        <w:instrText xml:space="preserve"> ADDIN EN.CITE &lt;EndNote&gt;&lt;Cite AuthorYear="1"&gt;&lt;Author&gt;Leshomo&lt;/Author&gt;&lt;Year&gt;2011&lt;/Year&gt;&lt;RecNum&gt;236&lt;/RecNum&gt;&lt;DisplayText&gt;Leshomo (2011)&lt;/DisplayText&gt;&lt;record&gt;&lt;rec-number&gt;236&lt;/rec-number&gt;&lt;foreign-keys&gt;&lt;key app="EN" db-id="sfrvaxp2tpfrsse5sa1xafxkw0wf9wadpds5" timestamp="1565018775"&gt;236&lt;/key&gt;&lt;/foreign-keys&gt;&lt;ref-type name="Book"&gt;6&lt;/ref-type&gt;&lt;contributors&gt;&lt;authors&gt;&lt;author&gt;Leshomo, J&lt;/author&gt;&lt;/authors&gt;&lt;/contributors&gt;&lt;titles&gt;&lt;title&gt;Investigation of hydrochemistry and uranium radioactivity in the groundwater of Namaqualand, Northern Cape, South Africa&lt;/title&gt;&lt;/titles&gt;&lt;dates&gt;&lt;year&gt;2011&lt;/year&gt;&lt;/dates&gt;&lt;publisher&gt;Johannesburg: MSc thesis, University of Witwatersrand&lt;/publisher&gt;&lt;urls&gt;&lt;/urls&gt;&lt;/record&gt;&lt;/Cite&gt;&lt;/EndNote&gt;</w:instrText>
      </w:r>
      <w:r w:rsidR="007F17CC" w:rsidRPr="00551BF7">
        <w:rPr>
          <w:rFonts w:ascii="Arial" w:hAnsi="Arial" w:cs="Arial"/>
        </w:rPr>
        <w:fldChar w:fldCharType="separate"/>
      </w:r>
      <w:r w:rsidR="007F17CC" w:rsidRPr="00551BF7">
        <w:rPr>
          <w:rFonts w:ascii="Arial" w:hAnsi="Arial" w:cs="Arial"/>
          <w:noProof/>
        </w:rPr>
        <w:t>Leshomo (2011)</w:t>
      </w:r>
      <w:r w:rsidR="007F17CC" w:rsidRPr="00551BF7">
        <w:rPr>
          <w:rFonts w:ascii="Arial" w:hAnsi="Arial" w:cs="Arial"/>
        </w:rPr>
        <w:fldChar w:fldCharType="end"/>
      </w:r>
      <w:r w:rsidR="00E61D88" w:rsidRPr="00551BF7">
        <w:rPr>
          <w:rFonts w:ascii="Arial" w:hAnsi="Arial" w:cs="Arial"/>
        </w:rPr>
        <w:t>,</w:t>
      </w:r>
      <w:r w:rsidRPr="00551BF7">
        <w:rPr>
          <w:rFonts w:ascii="Arial" w:hAnsi="Arial" w:cs="Arial"/>
        </w:rPr>
        <w:t xml:space="preserve"> it was reported that </w:t>
      </w:r>
      <w:r w:rsidR="00004FAE">
        <w:rPr>
          <w:rFonts w:ascii="Arial" w:hAnsi="Arial" w:cs="Arial"/>
        </w:rPr>
        <w:t xml:space="preserve">the </w:t>
      </w:r>
      <w:r w:rsidRPr="00551BF7">
        <w:rPr>
          <w:rFonts w:ascii="Arial" w:hAnsi="Arial" w:cs="Arial"/>
        </w:rPr>
        <w:t>h</w:t>
      </w:r>
      <w:r w:rsidR="007F17CC" w:rsidRPr="00551BF7">
        <w:rPr>
          <w:rFonts w:ascii="Arial" w:hAnsi="Arial" w:cs="Arial"/>
        </w:rPr>
        <w:t xml:space="preserve">ydrochemistry </w:t>
      </w:r>
      <w:r w:rsidRPr="00551BF7">
        <w:rPr>
          <w:rFonts w:ascii="Arial" w:hAnsi="Arial" w:cs="Arial"/>
        </w:rPr>
        <w:t xml:space="preserve">of </w:t>
      </w:r>
      <w:r w:rsidR="007F17CC" w:rsidRPr="00551BF7">
        <w:rPr>
          <w:rFonts w:ascii="Arial" w:hAnsi="Arial" w:cs="Arial"/>
        </w:rPr>
        <w:t>groundwater</w:t>
      </w:r>
      <w:r w:rsidRPr="00551BF7">
        <w:rPr>
          <w:rFonts w:ascii="Arial" w:hAnsi="Arial" w:cs="Arial"/>
        </w:rPr>
        <w:t xml:space="preserve"> indicates that there is </w:t>
      </w:r>
      <w:r w:rsidR="00004FAE">
        <w:rPr>
          <w:rFonts w:ascii="Arial" w:hAnsi="Arial" w:cs="Arial"/>
        </w:rPr>
        <w:t xml:space="preserve">an </w:t>
      </w:r>
      <w:r w:rsidR="007F17CC" w:rsidRPr="00551BF7">
        <w:rPr>
          <w:rFonts w:ascii="Arial" w:hAnsi="Arial" w:cs="Arial"/>
        </w:rPr>
        <w:t>evolution taking place</w:t>
      </w:r>
      <w:r w:rsidR="00E61D88" w:rsidRPr="00551BF7">
        <w:rPr>
          <w:rFonts w:ascii="Arial" w:hAnsi="Arial" w:cs="Arial"/>
        </w:rPr>
        <w:t>. T</w:t>
      </w:r>
      <w:r w:rsidR="00A6457D" w:rsidRPr="00551BF7">
        <w:rPr>
          <w:rFonts w:ascii="Arial" w:hAnsi="Arial" w:cs="Arial"/>
        </w:rPr>
        <w:t>he processes contributing to changes in the borehole water quality in Namaqualand ha</w:t>
      </w:r>
      <w:r w:rsidR="00004FAE">
        <w:rPr>
          <w:rFonts w:ascii="Arial" w:hAnsi="Arial" w:cs="Arial"/>
        </w:rPr>
        <w:t>ve</w:t>
      </w:r>
      <w:r w:rsidR="00A6457D" w:rsidRPr="00551BF7">
        <w:rPr>
          <w:rFonts w:ascii="Arial" w:hAnsi="Arial" w:cs="Arial"/>
        </w:rPr>
        <w:t xml:space="preserve"> not been modelled in the past.</w:t>
      </w:r>
    </w:p>
    <w:p w14:paraId="112B67DC" w14:textId="77777777" w:rsidR="00A6457D" w:rsidRPr="00551BF7" w:rsidRDefault="00A6457D" w:rsidP="00551BF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51BF7">
        <w:rPr>
          <w:rFonts w:ascii="Arial" w:hAnsi="Arial" w:cs="Arial"/>
        </w:rPr>
        <w:t xml:space="preserve">The hydrochemical characterisation of borehole water was an </w:t>
      </w:r>
      <w:r w:rsidR="00E61D88" w:rsidRPr="00551BF7">
        <w:rPr>
          <w:rFonts w:ascii="Arial" w:hAnsi="Arial" w:cs="Arial"/>
        </w:rPr>
        <w:t>essential</w:t>
      </w:r>
      <w:r w:rsidRPr="00551BF7">
        <w:rPr>
          <w:rFonts w:ascii="Arial" w:hAnsi="Arial" w:cs="Arial"/>
        </w:rPr>
        <w:t xml:space="preserve"> stage for effective management of groundwater resources in Namaqualand by </w:t>
      </w:r>
      <w:r w:rsidRPr="00551BF7">
        <w:rPr>
          <w:rFonts w:ascii="Arial" w:hAnsi="Arial" w:cs="Arial"/>
        </w:rPr>
        <w:fldChar w:fldCharType="begin"/>
      </w:r>
      <w:r w:rsidRPr="00551BF7">
        <w:rPr>
          <w:rFonts w:ascii="Arial" w:hAnsi="Arial" w:cs="Arial"/>
        </w:rPr>
        <w:instrText xml:space="preserve"> ADDIN EN.CITE &lt;EndNote&gt;&lt;Cite AuthorYear="1"&gt;&lt;Author&gt;Erdogan&lt;/Author&gt;&lt;Year&gt;2019&lt;/Year&gt;&lt;RecNum&gt;341&lt;/RecNum&gt;&lt;DisplayText&gt;Erdogan&lt;style face="italic"&gt; et al.&lt;/style&gt; (2019)&lt;/DisplayText&gt;&lt;record&gt;&lt;rec-number&gt;341&lt;/rec-number&gt;&lt;foreign-keys&gt;&lt;key app="EN" db-id="sfrvaxp2tpfrsse5sa1xafxkw0wf9wadpds5" timestamp="1569905133"&gt;341&lt;/key&gt;&lt;/foreign-keys&gt;&lt;ref-type name="Journal Article"&gt;17&lt;/ref-type&gt;&lt;contributors&gt;&lt;authors&gt;&lt;author&gt;Erdogan, IG&lt;/author&gt;&lt;author&gt;Fosso-Kankeu, E&lt;/author&gt;&lt;author&gt;Ntwampe, SKO&lt;/author&gt;&lt;author&gt;Waanders, FB&lt;/author&gt;&lt;author&gt;Hoth, N&lt;/author&gt;&lt;author&gt;Rand, A&lt;/author&gt;&lt;/authors&gt;&lt;/contributors&gt;&lt;titles&gt;&lt;title&gt;Groundwater as an alternative source to irregular surface water in the O’Kiep area, Namaqualand, South Africa&lt;/title&gt;&lt;secondary-title&gt;Physics and Chemistry of the Earth, Parts A/B/C&lt;/secondary-title&gt;&lt;/titles&gt;&lt;periodical&gt;&lt;full-title&gt;Physics and Chemistry of the Earth, Parts A/B/C&lt;/full-title&gt;&lt;/periodical&gt;&lt;dates&gt;&lt;year&gt;2019&lt;/year&gt;&lt;/dates&gt;&lt;isbn&gt;1474-7065&lt;/isbn&gt;&lt;urls&gt;&lt;/urls&gt;&lt;/record&gt;&lt;/Cite&gt;&lt;/EndNote&gt;</w:instrText>
      </w:r>
      <w:r w:rsidRPr="00551BF7">
        <w:rPr>
          <w:rFonts w:ascii="Arial" w:hAnsi="Arial" w:cs="Arial"/>
        </w:rPr>
        <w:fldChar w:fldCharType="separate"/>
      </w:r>
      <w:r w:rsidRPr="00551BF7">
        <w:rPr>
          <w:rFonts w:ascii="Arial" w:hAnsi="Arial" w:cs="Arial"/>
          <w:noProof/>
        </w:rPr>
        <w:t>Erdogan</w:t>
      </w:r>
      <w:r w:rsidRPr="00551BF7">
        <w:rPr>
          <w:rFonts w:ascii="Arial" w:hAnsi="Arial" w:cs="Arial"/>
          <w:i/>
          <w:noProof/>
        </w:rPr>
        <w:t xml:space="preserve"> et al.</w:t>
      </w:r>
      <w:r w:rsidRPr="00551BF7">
        <w:rPr>
          <w:rFonts w:ascii="Arial" w:hAnsi="Arial" w:cs="Arial"/>
          <w:noProof/>
        </w:rPr>
        <w:t xml:space="preserve"> (2019)</w:t>
      </w:r>
      <w:r w:rsidRPr="00551BF7">
        <w:rPr>
          <w:rFonts w:ascii="Arial" w:hAnsi="Arial" w:cs="Arial"/>
        </w:rPr>
        <w:fldChar w:fldCharType="end"/>
      </w:r>
      <w:r w:rsidRPr="00551BF7">
        <w:rPr>
          <w:rFonts w:ascii="Arial" w:hAnsi="Arial" w:cs="Arial"/>
        </w:rPr>
        <w:t xml:space="preserve"> and </w:t>
      </w:r>
      <w:r w:rsidRPr="00551BF7">
        <w:rPr>
          <w:rFonts w:ascii="Arial" w:hAnsi="Arial" w:cs="Arial"/>
        </w:rPr>
        <w:fldChar w:fldCharType="begin"/>
      </w:r>
      <w:r w:rsidRPr="00551BF7">
        <w:rPr>
          <w:rFonts w:ascii="Arial" w:hAnsi="Arial" w:cs="Arial"/>
        </w:rPr>
        <w:instrText xml:space="preserve"> ADDIN EN.CITE &lt;EndNote&gt;&lt;Cite AuthorYear="1"&gt;&lt;Author&gt;Abiye&lt;/Author&gt;&lt;Year&gt;2013&lt;/Year&gt;&lt;RecNum&gt;116&lt;/RecNum&gt;&lt;DisplayText&gt;Abiye and Leshomo (2013)&lt;/DisplayText&gt;&lt;record&gt;&lt;rec-number&gt;116&lt;/rec-number&gt;&lt;foreign-keys&gt;&lt;key app="EN" db-id="sfrvaxp2tpfrsse5sa1xafxkw0wf9wadpds5" timestamp="1561857503"&gt;116&lt;/key&gt;&lt;/foreign-keys&gt;&lt;ref-type name="Journal Article"&gt;17&lt;/ref-type&gt;&lt;contributors&gt;&lt;authors&gt;&lt;author&gt;Abiye, Tamiru A.&lt;/author&gt;&lt;author&gt;Leshomo, Joyce T.&lt;/author&gt;&lt;/authors&gt;&lt;/contributors&gt;&lt;titles&gt;&lt;title&gt;Groundwater flow and radioactivity in Namaqualand, South Africa&lt;/title&gt;&lt;secondary-title&gt;Environmental Earth Sciences&lt;/secondary-title&gt;&lt;/titles&gt;&lt;periodical&gt;&lt;full-title&gt;Environmental Earth Sciences&lt;/full-title&gt;&lt;/periodical&gt;&lt;pages&gt;281-293&lt;/pages&gt;&lt;volume&gt;70&lt;/volume&gt;&lt;number&gt;1&lt;/number&gt;&lt;dates&gt;&lt;year&gt;2013&lt;/year&gt;&lt;pub-dates&gt;&lt;date&gt;September 01&lt;/date&gt;&lt;/pub-dates&gt;&lt;/dates&gt;&lt;isbn&gt;1866-6299&lt;/isbn&gt;&lt;label&gt;Abiye2013&lt;/label&gt;&lt;work-type&gt;journal article&lt;/work-type&gt;&lt;urls&gt;&lt;related-urls&gt;&lt;url&gt;https://doi.org/10.1007/s12665-012-2126-9&lt;/url&gt;&lt;/related-urls&gt;&lt;/urls&gt;&lt;electronic-resource-num&gt;10.1007/s12665-012-2126-9&lt;/electronic-resource-num&gt;&lt;/record&gt;&lt;/Cite&gt;&lt;/EndNote&gt;</w:instrText>
      </w:r>
      <w:r w:rsidRPr="00551BF7">
        <w:rPr>
          <w:rFonts w:ascii="Arial" w:hAnsi="Arial" w:cs="Arial"/>
        </w:rPr>
        <w:fldChar w:fldCharType="separate"/>
      </w:r>
      <w:r w:rsidRPr="00551BF7">
        <w:rPr>
          <w:rFonts w:ascii="Arial" w:hAnsi="Arial" w:cs="Arial"/>
          <w:noProof/>
        </w:rPr>
        <w:t>Abiye and Leshomo (2013)</w:t>
      </w:r>
      <w:r w:rsidRPr="00551BF7">
        <w:rPr>
          <w:rFonts w:ascii="Arial" w:hAnsi="Arial" w:cs="Arial"/>
        </w:rPr>
        <w:fldChar w:fldCharType="end"/>
      </w:r>
      <w:r w:rsidR="00E61D88" w:rsidRPr="00551BF7">
        <w:rPr>
          <w:rFonts w:ascii="Arial" w:hAnsi="Arial" w:cs="Arial"/>
        </w:rPr>
        <w:t>;</w:t>
      </w:r>
      <w:r w:rsidRPr="00551BF7">
        <w:rPr>
          <w:rFonts w:ascii="Arial" w:hAnsi="Arial" w:cs="Arial"/>
        </w:rPr>
        <w:t xml:space="preserve">  with </w:t>
      </w:r>
      <w:r w:rsidRPr="00551BF7">
        <w:rPr>
          <w:rFonts w:ascii="Arial" w:hAnsi="Arial" w:cs="Arial"/>
          <w:sz w:val="20"/>
          <w:szCs w:val="20"/>
        </w:rPr>
        <w:t xml:space="preserve">PHREEQC </w:t>
      </w:r>
      <w:r w:rsidRPr="00551BF7">
        <w:rPr>
          <w:rFonts w:ascii="Arial" w:hAnsi="Arial" w:cs="Arial"/>
        </w:rPr>
        <w:t xml:space="preserve">modelling being regarded as a vital tool to elucidate </w:t>
      </w:r>
      <w:r w:rsidR="00004FAE">
        <w:rPr>
          <w:rFonts w:ascii="Arial" w:hAnsi="Arial" w:cs="Arial"/>
        </w:rPr>
        <w:t xml:space="preserve">the </w:t>
      </w:r>
      <w:r w:rsidRPr="00551BF7">
        <w:rPr>
          <w:rFonts w:ascii="Arial" w:hAnsi="Arial" w:cs="Arial"/>
        </w:rPr>
        <w:t xml:space="preserve">geochemical processes involved. </w:t>
      </w:r>
    </w:p>
    <w:p w14:paraId="493C29CE" w14:textId="77777777" w:rsidR="00A6457D" w:rsidRPr="00551BF7" w:rsidRDefault="00A6457D" w:rsidP="00551BF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F7">
        <w:rPr>
          <w:rFonts w:ascii="Arial" w:hAnsi="Arial" w:cs="Arial"/>
        </w:rPr>
        <w:t>PHREEQC results are of great significance for understanding the regional hydrochemical evolution of groundwater.</w:t>
      </w:r>
    </w:p>
    <w:p w14:paraId="241C973C" w14:textId="77777777" w:rsidR="00A6457D" w:rsidRPr="00551BF7" w:rsidRDefault="00A6457D" w:rsidP="00551BF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551BF7">
        <w:rPr>
          <w:rFonts w:ascii="Arial" w:hAnsi="Arial" w:cs="Arial"/>
        </w:rPr>
        <w:t>The research data will assist in determining rock-water interactions and the hydrochemical evolution of groundwater</w:t>
      </w:r>
      <w:r w:rsidRPr="00551BF7">
        <w:t xml:space="preserve"> </w:t>
      </w:r>
      <w:r w:rsidRPr="00551BF7">
        <w:rPr>
          <w:rFonts w:ascii="Arial" w:hAnsi="Arial" w:cs="Arial"/>
        </w:rPr>
        <w:t xml:space="preserve">and resolve hydrogeological challenges </w:t>
      </w:r>
      <w:r w:rsidR="00E61D88" w:rsidRPr="00551BF7">
        <w:rPr>
          <w:rFonts w:ascii="Arial" w:hAnsi="Arial" w:cs="Arial"/>
        </w:rPr>
        <w:t>in this area.</w:t>
      </w:r>
    </w:p>
    <w:p w14:paraId="77E292A3" w14:textId="77777777" w:rsidR="00A6457D" w:rsidRPr="00551BF7" w:rsidRDefault="00A6457D" w:rsidP="00551BF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551BF7">
        <w:rPr>
          <w:rFonts w:ascii="Arial" w:hAnsi="Arial" w:cs="Arial"/>
        </w:rPr>
        <w:t>The data will provide critical knowledge on groundwater evolution with the change in environmental and societal conditions.</w:t>
      </w:r>
    </w:p>
    <w:p w14:paraId="4A20801C" w14:textId="77777777" w:rsidR="00A6457D" w:rsidRPr="000E4E58" w:rsidRDefault="00A6457D" w:rsidP="00D14F4E"/>
    <w:p w14:paraId="5BDF869D" w14:textId="77777777" w:rsidR="00A6457D" w:rsidRPr="00D14F4E" w:rsidRDefault="00AD591A" w:rsidP="002421D2">
      <w:pPr>
        <w:pStyle w:val="Heading2"/>
        <w:spacing w:after="240"/>
        <w:rPr>
          <w:rFonts w:ascii="Arial" w:hAnsi="Arial" w:cs="Arial"/>
          <w:b/>
          <w:smallCaps/>
          <w:color w:val="auto"/>
          <w:sz w:val="22"/>
          <w:szCs w:val="22"/>
        </w:rPr>
      </w:pPr>
      <w:r w:rsidRPr="00D14F4E">
        <w:rPr>
          <w:rFonts w:ascii="Arial" w:hAnsi="Arial" w:cs="Arial"/>
          <w:b/>
          <w:smallCaps/>
          <w:color w:val="auto"/>
          <w:sz w:val="22"/>
          <w:szCs w:val="22"/>
        </w:rPr>
        <w:t>d</w:t>
      </w:r>
      <w:r w:rsidR="00A6457D" w:rsidRPr="00D14F4E">
        <w:rPr>
          <w:rFonts w:ascii="Arial" w:hAnsi="Arial" w:cs="Arial"/>
          <w:b/>
          <w:smallCaps/>
          <w:color w:val="auto"/>
          <w:sz w:val="22"/>
          <w:szCs w:val="22"/>
        </w:rPr>
        <w:t>ata</w:t>
      </w:r>
    </w:p>
    <w:p w14:paraId="293C2A13" w14:textId="77777777" w:rsidR="00427BCB" w:rsidRPr="00551BF7" w:rsidRDefault="00A6457D" w:rsidP="00551BF7">
      <w:pPr>
        <w:spacing w:after="0" w:line="360" w:lineRule="auto"/>
        <w:jc w:val="both"/>
        <w:rPr>
          <w:rFonts w:ascii="Arial" w:hAnsi="Arial" w:cs="Arial"/>
        </w:rPr>
      </w:pPr>
      <w:r w:rsidRPr="00551BF7">
        <w:rPr>
          <w:rFonts w:ascii="Arial" w:hAnsi="Arial" w:cs="Arial"/>
        </w:rPr>
        <w:t xml:space="preserve">This study presents the </w:t>
      </w:r>
      <w:proofErr w:type="spellStart"/>
      <w:r w:rsidRPr="00551BF7">
        <w:rPr>
          <w:rFonts w:ascii="Arial" w:hAnsi="Arial" w:cs="Arial"/>
        </w:rPr>
        <w:t>hydrogeochemical</w:t>
      </w:r>
      <w:proofErr w:type="spellEnd"/>
      <w:r w:rsidRPr="00551BF7">
        <w:rPr>
          <w:rFonts w:ascii="Arial" w:hAnsi="Arial" w:cs="Arial"/>
        </w:rPr>
        <w:t xml:space="preserve"> analysis of the groundwater in the arid Namaqualand. Groundwater samples were collected from eight boreholes by </w:t>
      </w:r>
      <w:r w:rsidRPr="00551BF7">
        <w:rPr>
          <w:rFonts w:ascii="Arial" w:hAnsi="Arial" w:cs="Arial"/>
        </w:rPr>
        <w:fldChar w:fldCharType="begin"/>
      </w:r>
      <w:r w:rsidRPr="00551BF7">
        <w:rPr>
          <w:rFonts w:ascii="Arial" w:hAnsi="Arial" w:cs="Arial"/>
        </w:rPr>
        <w:instrText xml:space="preserve"> ADDIN EN.CITE &lt;EndNote&gt;&lt;Cite AuthorYear="1"&gt;&lt;Author&gt;Erdogan&lt;/Author&gt;&lt;Year&gt;2019&lt;/Year&gt;&lt;RecNum&gt;341&lt;/RecNum&gt;&lt;DisplayText&gt;Erdogan&lt;style face="italic"&gt; et al.&lt;/style&gt; (2019)&lt;/DisplayText&gt;&lt;record&gt;&lt;rec-number&gt;341&lt;/rec-number&gt;&lt;foreign-keys&gt;&lt;key app="EN" db-id="sfrvaxp2tpfrsse5sa1xafxkw0wf9wadpds5" timestamp="1569905133"&gt;341&lt;/key&gt;&lt;/foreign-keys&gt;&lt;ref-type name="Journal Article"&gt;17&lt;/ref-type&gt;&lt;contributors&gt;&lt;authors&gt;&lt;author&gt;Erdogan, IG&lt;/author&gt;&lt;author&gt;Fosso-Kankeu, E&lt;/author&gt;&lt;author&gt;Ntwampe, SKO&lt;/author&gt;&lt;author&gt;Waanders, FB&lt;/author&gt;&lt;author&gt;Hoth, N&lt;/author&gt;&lt;author&gt;Rand, A&lt;/author&gt;&lt;/authors&gt;&lt;/contributors&gt;&lt;titles&gt;&lt;title&gt;Groundwater as an alternative source to irregular surface water in the O’Kiep area, Namaqualand, South Africa&lt;/title&gt;&lt;secondary-title&gt;Physics and Chemistry of the Earth, Parts A/B/C&lt;/secondary-title&gt;&lt;/titles&gt;&lt;periodical&gt;&lt;full-title&gt;Physics and Chemistry of the Earth, Parts A/B/C&lt;/full-title&gt;&lt;/periodical&gt;&lt;dates&gt;&lt;year&gt;2019&lt;/year&gt;&lt;/dates&gt;&lt;isbn&gt;1474-7065&lt;/isbn&gt;&lt;urls&gt;&lt;/urls&gt;&lt;/record&gt;&lt;/Cite&gt;&lt;/EndNote&gt;</w:instrText>
      </w:r>
      <w:r w:rsidRPr="00551BF7">
        <w:rPr>
          <w:rFonts w:ascii="Arial" w:hAnsi="Arial" w:cs="Arial"/>
        </w:rPr>
        <w:fldChar w:fldCharType="separate"/>
      </w:r>
      <w:r w:rsidRPr="00551BF7">
        <w:rPr>
          <w:rFonts w:ascii="Arial" w:hAnsi="Arial" w:cs="Arial"/>
          <w:noProof/>
        </w:rPr>
        <w:t>Erdogan</w:t>
      </w:r>
      <w:r w:rsidRPr="00551BF7">
        <w:rPr>
          <w:rFonts w:ascii="Arial" w:hAnsi="Arial" w:cs="Arial"/>
          <w:i/>
          <w:noProof/>
        </w:rPr>
        <w:t xml:space="preserve"> et al.</w:t>
      </w:r>
      <w:r w:rsidRPr="00551BF7">
        <w:rPr>
          <w:rFonts w:ascii="Arial" w:hAnsi="Arial" w:cs="Arial"/>
          <w:noProof/>
        </w:rPr>
        <w:t xml:space="preserve"> (2019)</w:t>
      </w:r>
      <w:r w:rsidRPr="00551BF7">
        <w:rPr>
          <w:rFonts w:ascii="Arial" w:hAnsi="Arial" w:cs="Arial"/>
        </w:rPr>
        <w:fldChar w:fldCharType="end"/>
      </w:r>
      <w:r w:rsidRPr="00551BF7">
        <w:rPr>
          <w:rFonts w:ascii="Arial" w:hAnsi="Arial" w:cs="Arial"/>
        </w:rPr>
        <w:t xml:space="preserve"> while the other data </w:t>
      </w:r>
      <w:r w:rsidR="00004FAE">
        <w:rPr>
          <w:rFonts w:ascii="Arial" w:hAnsi="Arial" w:cs="Arial"/>
        </w:rPr>
        <w:t>were</w:t>
      </w:r>
      <w:r w:rsidR="00004FAE" w:rsidRPr="00551BF7">
        <w:rPr>
          <w:rFonts w:ascii="Arial" w:hAnsi="Arial" w:cs="Arial"/>
        </w:rPr>
        <w:t xml:space="preserve"> </w:t>
      </w:r>
      <w:r w:rsidRPr="00551BF7">
        <w:rPr>
          <w:rFonts w:ascii="Arial" w:hAnsi="Arial" w:cs="Arial"/>
        </w:rPr>
        <w:t xml:space="preserve">extracted from the study published by </w:t>
      </w:r>
      <w:proofErr w:type="spellStart"/>
      <w:r w:rsidRPr="00551BF7">
        <w:rPr>
          <w:rFonts w:ascii="Arial" w:hAnsi="Arial" w:cs="Arial"/>
        </w:rPr>
        <w:t>Abiye</w:t>
      </w:r>
      <w:proofErr w:type="spellEnd"/>
      <w:r w:rsidRPr="00551BF7">
        <w:rPr>
          <w:rFonts w:ascii="Arial" w:hAnsi="Arial" w:cs="Arial"/>
        </w:rPr>
        <w:t xml:space="preserve"> and </w:t>
      </w:r>
      <w:proofErr w:type="spellStart"/>
      <w:r w:rsidRPr="00551BF7">
        <w:rPr>
          <w:rFonts w:ascii="Arial" w:hAnsi="Arial" w:cs="Arial"/>
        </w:rPr>
        <w:t>Leshomo</w:t>
      </w:r>
      <w:proofErr w:type="spellEnd"/>
      <w:r w:rsidRPr="00551BF7">
        <w:rPr>
          <w:rFonts w:ascii="Arial" w:hAnsi="Arial" w:cs="Arial"/>
        </w:rPr>
        <w:t xml:space="preserve"> (2013)  as shown in Table 1 and most of the boreholes in the area are from fractured basement aquifers.</w:t>
      </w:r>
      <w:r w:rsidR="002066F5" w:rsidRPr="00551BF7">
        <w:rPr>
          <w:rFonts w:ascii="Arial" w:hAnsi="Arial" w:cs="Arial"/>
        </w:rPr>
        <w:t xml:space="preserve"> </w:t>
      </w:r>
      <w:r w:rsidRPr="00551BF7">
        <w:rPr>
          <w:rFonts w:ascii="Arial" w:hAnsi="Arial" w:cs="Arial"/>
        </w:rPr>
        <w:t xml:space="preserve">PHREEQC was used to perform </w:t>
      </w:r>
      <w:r w:rsidR="00E61D88" w:rsidRPr="00551BF7">
        <w:rPr>
          <w:rFonts w:ascii="Arial" w:hAnsi="Arial" w:cs="Arial"/>
        </w:rPr>
        <w:t xml:space="preserve">an </w:t>
      </w:r>
      <w:r w:rsidRPr="00551BF7">
        <w:rPr>
          <w:rFonts w:ascii="Arial" w:hAnsi="Arial" w:cs="Arial"/>
        </w:rPr>
        <w:t xml:space="preserve">aqueous geochemical calculation that has capabilities for saturation index (SI) and speciation calculations in a batch-reaction system </w:t>
      </w:r>
      <w:r w:rsidRPr="00551BF7">
        <w:rPr>
          <w:rFonts w:ascii="Arial" w:hAnsi="Arial" w:cs="Arial"/>
        </w:rPr>
        <w:fldChar w:fldCharType="begin"/>
      </w:r>
      <w:r w:rsidRPr="00551BF7">
        <w:rPr>
          <w:rFonts w:ascii="Arial" w:hAnsi="Arial" w:cs="Arial"/>
        </w:rPr>
        <w:instrText xml:space="preserve"> ADDIN EN.CITE &lt;EndNote&gt;&lt;Cite&gt;&lt;Author&gt;Parkhurst&lt;/Author&gt;&lt;Year&gt;2013&lt;/Year&gt;&lt;RecNum&gt;295&lt;/RecNum&gt;&lt;DisplayText&gt;(Parkhurst and Appelo, 2013, Parkhurst and Appelo, 1999)&lt;/DisplayText&gt;&lt;record&gt;&lt;rec-number&gt;295&lt;/rec-number&gt;&lt;foreign-keys&gt;&lt;key app="EN" db-id="sfrvaxp2tpfrsse5sa1xafxkw0wf9wadpds5" timestamp="1566697634"&gt;295&lt;/key&gt;&lt;/foreign-keys&gt;&lt;ref-type name="Report"&gt;27&lt;/ref-type&gt;&lt;contributors&gt;&lt;authors&gt;&lt;author&gt;Parkhurst, David L&lt;/author&gt;&lt;author&gt;Appelo, CAJ&lt;/author&gt;&lt;/authors&gt;&lt;/contributors&gt;&lt;titles&gt;&lt;title&gt;Description of input and examples for PHREEQC version 3: a computer program for speciation, batch-reaction, one-dimensional transport, and inverse geochemical calculations&lt;/title&gt;&lt;/titles&gt;&lt;dates&gt;&lt;year&gt;2013&lt;/year&gt;&lt;/dates&gt;&lt;publisher&gt;US Geological Survey&lt;/publisher&gt;&lt;isbn&gt;2328-7055&lt;/isbn&gt;&lt;urls&gt;&lt;/urls&gt;&lt;/record&gt;&lt;/Cite&gt;&lt;Cite&gt;&lt;Author&gt;Parkhurst&lt;/Author&gt;&lt;Year&gt;1999&lt;/Year&gt;&lt;RecNum&gt;453&lt;/RecNum&gt;&lt;record&gt;&lt;rec-number&gt;453&lt;/rec-number&gt;&lt;foreign-keys&gt;&lt;key app="EN" db-id="sfrvaxp2tpfrsse5sa1xafxkw0wf9wadpds5" timestamp="1595310282"&gt;453&lt;/key&gt;&lt;/foreign-keys&gt;&lt;ref-type name="Journal Article"&gt;17&lt;/ref-type&gt;&lt;contributors&gt;&lt;authors&gt;&lt;author&gt;Parkhurst, David L&lt;/author&gt;&lt;author&gt;Appelo, CAJ&lt;/author&gt;&lt;/authors&gt;&lt;/contributors&gt;&lt;titles&gt;&lt;title&gt;User&amp;apos;s guide to PHREEQC (Version 2): A computer program for speciation, batch-reaction, one-dimensional transport, and inverse geochemical calculations&lt;/title&gt;&lt;secondary-title&gt;Water-resources investigations report&lt;/secondary-title&gt;&lt;/titles&gt;&lt;periodical&gt;&lt;full-title&gt;Water-resources investigations report&lt;/full-title&gt;&lt;/periodical&gt;&lt;pages&gt;312&lt;/pages&gt;&lt;volume&gt;99&lt;/volume&gt;&lt;number&gt;4259&lt;/number&gt;&lt;dates&gt;&lt;year&gt;1999&lt;/year&gt;&lt;/dates&gt;&lt;urls&gt;&lt;/urls&gt;&lt;/record&gt;&lt;/Cite&gt;&lt;/EndNote&gt;</w:instrText>
      </w:r>
      <w:r w:rsidRPr="00551BF7">
        <w:rPr>
          <w:rFonts w:ascii="Arial" w:hAnsi="Arial" w:cs="Arial"/>
        </w:rPr>
        <w:fldChar w:fldCharType="separate"/>
      </w:r>
      <w:r w:rsidRPr="00551BF7">
        <w:rPr>
          <w:rFonts w:ascii="Arial" w:hAnsi="Arial" w:cs="Arial"/>
          <w:noProof/>
        </w:rPr>
        <w:t>(Parkhurst and Appelo, 2013, Parkhurst and Appelo, 1999)</w:t>
      </w:r>
      <w:r w:rsidRPr="00551BF7">
        <w:rPr>
          <w:rFonts w:ascii="Arial" w:hAnsi="Arial" w:cs="Arial"/>
        </w:rPr>
        <w:fldChar w:fldCharType="end"/>
      </w:r>
      <w:r w:rsidRPr="00551BF7">
        <w:rPr>
          <w:rFonts w:ascii="Arial" w:hAnsi="Arial" w:cs="Arial"/>
        </w:rPr>
        <w:t>.</w:t>
      </w:r>
      <w:r w:rsidR="002066F5" w:rsidRPr="00551BF7">
        <w:rPr>
          <w:rFonts w:ascii="Arial" w:hAnsi="Arial" w:cs="Arial"/>
        </w:rPr>
        <w:t xml:space="preserve"> </w:t>
      </w:r>
      <w:r w:rsidRPr="00551BF7">
        <w:rPr>
          <w:rFonts w:ascii="Arial" w:hAnsi="Arial" w:cs="Arial"/>
        </w:rPr>
        <w:t>The interaction between the groundwater and rock mineralogy controls the geochemistry of the groundwater</w:t>
      </w:r>
      <w:r w:rsidR="00844FB6" w:rsidRPr="00551BF7">
        <w:rPr>
          <w:rFonts w:ascii="Arial" w:hAnsi="Arial" w:cs="Arial"/>
        </w:rPr>
        <w:t>.</w:t>
      </w:r>
      <w:r w:rsidR="00427BCB" w:rsidRPr="00551BF7">
        <w:rPr>
          <w:rFonts w:ascii="Arial" w:hAnsi="Arial" w:cs="Arial"/>
        </w:rPr>
        <w:t xml:space="preserve"> </w:t>
      </w:r>
      <w:r w:rsidRPr="00551BF7">
        <w:rPr>
          <w:rFonts w:ascii="Arial" w:hAnsi="Arial" w:cs="Arial"/>
        </w:rPr>
        <w:t xml:space="preserve">PHREEQC modelling software approach allowed for simulation and characterisation of the </w:t>
      </w:r>
      <w:proofErr w:type="spellStart"/>
      <w:r w:rsidRPr="00551BF7">
        <w:rPr>
          <w:rFonts w:ascii="Arial" w:hAnsi="Arial" w:cs="Arial"/>
        </w:rPr>
        <w:t>hydrogeochemical</w:t>
      </w:r>
      <w:proofErr w:type="spellEnd"/>
      <w:r w:rsidRPr="00551BF7">
        <w:rPr>
          <w:rFonts w:ascii="Arial" w:hAnsi="Arial" w:cs="Arial"/>
        </w:rPr>
        <w:t xml:space="preserve"> processes influencing the groundwater quality</w:t>
      </w:r>
      <w:r w:rsidR="00E61D88" w:rsidRPr="00551BF7">
        <w:rPr>
          <w:rFonts w:ascii="Arial" w:hAnsi="Arial" w:cs="Arial"/>
        </w:rPr>
        <w:t>. T</w:t>
      </w:r>
      <w:r w:rsidRPr="00551BF7">
        <w:rPr>
          <w:rFonts w:ascii="Arial" w:hAnsi="Arial" w:cs="Arial"/>
        </w:rPr>
        <w:t>he composition of the groundwater contaminated by various minerals predicting reactive mineral mechanisms. The variations observed between different dataset were attributed</w:t>
      </w:r>
      <w:r w:rsidR="00E61D88" w:rsidRPr="00551BF7">
        <w:rPr>
          <w:rFonts w:ascii="Arial" w:hAnsi="Arial" w:cs="Arial"/>
        </w:rPr>
        <w:t xml:space="preserve"> to</w:t>
      </w:r>
      <w:r w:rsidRPr="00551BF7">
        <w:rPr>
          <w:rFonts w:ascii="Arial" w:hAnsi="Arial" w:cs="Arial"/>
        </w:rPr>
        <w:t xml:space="preserve"> geological matrix interaction between </w:t>
      </w:r>
      <w:r w:rsidR="00E61D88" w:rsidRPr="00551BF7">
        <w:rPr>
          <w:rFonts w:ascii="Arial" w:hAnsi="Arial" w:cs="Arial"/>
        </w:rPr>
        <w:t>significant</w:t>
      </w:r>
      <w:r w:rsidRPr="00551BF7">
        <w:rPr>
          <w:rFonts w:ascii="Arial" w:hAnsi="Arial" w:cs="Arial"/>
        </w:rPr>
        <w:t xml:space="preserve"> anions and cations. </w:t>
      </w:r>
      <w:r w:rsidR="002066F5" w:rsidRPr="00551BF7">
        <w:rPr>
          <w:rFonts w:ascii="Arial" w:hAnsi="Arial" w:cs="Arial"/>
        </w:rPr>
        <w:t xml:space="preserve">The </w:t>
      </w:r>
      <w:r w:rsidR="00E73DB3" w:rsidRPr="00551BF7">
        <w:rPr>
          <w:rFonts w:ascii="Arial" w:hAnsi="Arial" w:cs="Arial"/>
        </w:rPr>
        <w:t>calculate</w:t>
      </w:r>
      <w:r w:rsidR="002066F5" w:rsidRPr="00551BF7">
        <w:rPr>
          <w:rFonts w:ascii="Arial" w:hAnsi="Arial" w:cs="Arial"/>
        </w:rPr>
        <w:t>d</w:t>
      </w:r>
      <w:r w:rsidR="00E73DB3" w:rsidRPr="00551BF7">
        <w:rPr>
          <w:rFonts w:ascii="Arial" w:hAnsi="Arial" w:cs="Arial"/>
        </w:rPr>
        <w:t xml:space="preserve"> </w:t>
      </w:r>
      <w:r w:rsidR="009C5CE5" w:rsidRPr="00551BF7">
        <w:rPr>
          <w:rFonts w:ascii="Arial" w:hAnsi="Arial" w:cs="Arial"/>
        </w:rPr>
        <w:t>SI</w:t>
      </w:r>
      <w:r w:rsidR="0066292C">
        <w:rPr>
          <w:rFonts w:ascii="Arial" w:hAnsi="Arial" w:cs="Arial"/>
        </w:rPr>
        <w:t>s</w:t>
      </w:r>
      <w:r w:rsidR="009C5CE5" w:rsidRPr="00551BF7">
        <w:rPr>
          <w:rFonts w:ascii="Arial" w:hAnsi="Arial" w:cs="Arial"/>
        </w:rPr>
        <w:t xml:space="preserve"> of</w:t>
      </w:r>
      <w:r w:rsidR="00E73DB3" w:rsidRPr="00551BF7">
        <w:rPr>
          <w:rFonts w:ascii="Arial" w:hAnsi="Arial" w:cs="Arial"/>
        </w:rPr>
        <w:t xml:space="preserve"> particular </w:t>
      </w:r>
      <w:r w:rsidR="002066F5" w:rsidRPr="00551BF7">
        <w:rPr>
          <w:rFonts w:ascii="Arial" w:hAnsi="Arial" w:cs="Arial"/>
        </w:rPr>
        <w:t xml:space="preserve">phases </w:t>
      </w:r>
      <w:r w:rsidR="0066292C">
        <w:rPr>
          <w:rFonts w:ascii="Arial" w:hAnsi="Arial" w:cs="Arial"/>
        </w:rPr>
        <w:t>are</w:t>
      </w:r>
      <w:r w:rsidR="0066292C" w:rsidRPr="00551BF7">
        <w:rPr>
          <w:rFonts w:ascii="Arial" w:hAnsi="Arial" w:cs="Arial"/>
        </w:rPr>
        <w:t xml:space="preserve"> </w:t>
      </w:r>
      <w:r w:rsidR="002066F5" w:rsidRPr="00551BF7">
        <w:rPr>
          <w:rFonts w:ascii="Arial" w:hAnsi="Arial" w:cs="Arial"/>
        </w:rPr>
        <w:t>presented</w:t>
      </w:r>
      <w:r w:rsidR="00E73DB3" w:rsidRPr="00551BF7">
        <w:rPr>
          <w:rFonts w:ascii="Arial" w:hAnsi="Arial" w:cs="Arial"/>
        </w:rPr>
        <w:t xml:space="preserve"> in Table 2.</w:t>
      </w:r>
    </w:p>
    <w:p w14:paraId="0426EA1B" w14:textId="77777777" w:rsidR="000078C2" w:rsidRPr="00551BF7" w:rsidRDefault="000078C2" w:rsidP="00551BF7"/>
    <w:p w14:paraId="63EFC10F" w14:textId="77777777" w:rsidR="001708FC" w:rsidRPr="00551BF7" w:rsidRDefault="001708FC" w:rsidP="00551BF7"/>
    <w:p w14:paraId="7FCE3F93" w14:textId="77777777" w:rsidR="001708FC" w:rsidRPr="00551BF7" w:rsidRDefault="001708FC" w:rsidP="00551BF7"/>
    <w:p w14:paraId="2669F685" w14:textId="77777777" w:rsidR="00E61D88" w:rsidRPr="00551BF7" w:rsidRDefault="00E61D88" w:rsidP="00551BF7"/>
    <w:p w14:paraId="4A231991" w14:textId="77777777" w:rsidR="001708FC" w:rsidRPr="00551BF7" w:rsidRDefault="001708FC" w:rsidP="00551BF7"/>
    <w:p w14:paraId="3F98B3EE" w14:textId="77777777" w:rsidR="001E7DB4" w:rsidRPr="00551BF7" w:rsidRDefault="001E7DB4" w:rsidP="0028379A">
      <w:pPr>
        <w:pStyle w:val="Caption"/>
        <w:keepNext/>
        <w:spacing w:after="0"/>
        <w:rPr>
          <w:rFonts w:ascii="Arial" w:hAnsi="Arial" w:cs="Arial"/>
          <w:color w:val="auto"/>
          <w:sz w:val="20"/>
          <w:szCs w:val="20"/>
        </w:rPr>
      </w:pPr>
      <w:r w:rsidRPr="00551BF7">
        <w:rPr>
          <w:rFonts w:ascii="Arial" w:hAnsi="Arial" w:cs="Arial"/>
          <w:color w:val="auto"/>
          <w:sz w:val="20"/>
          <w:szCs w:val="20"/>
        </w:rPr>
        <w:lastRenderedPageBreak/>
        <w:t xml:space="preserve">Table </w:t>
      </w:r>
      <w:r w:rsidRPr="00551BF7">
        <w:rPr>
          <w:rFonts w:ascii="Arial" w:hAnsi="Arial" w:cs="Arial"/>
          <w:color w:val="auto"/>
          <w:sz w:val="20"/>
          <w:szCs w:val="20"/>
        </w:rPr>
        <w:fldChar w:fldCharType="begin"/>
      </w:r>
      <w:r w:rsidRPr="00551BF7">
        <w:rPr>
          <w:rFonts w:ascii="Arial" w:hAnsi="Arial" w:cs="Arial"/>
          <w:color w:val="auto"/>
          <w:sz w:val="20"/>
          <w:szCs w:val="20"/>
        </w:rPr>
        <w:instrText xml:space="preserve"> SEQ Table \* ARABIC </w:instrText>
      </w:r>
      <w:r w:rsidRPr="00551BF7">
        <w:rPr>
          <w:rFonts w:ascii="Arial" w:hAnsi="Arial" w:cs="Arial"/>
          <w:color w:val="auto"/>
          <w:sz w:val="20"/>
          <w:szCs w:val="20"/>
        </w:rPr>
        <w:fldChar w:fldCharType="separate"/>
      </w:r>
      <w:r w:rsidR="00AC063F" w:rsidRPr="00551BF7">
        <w:rPr>
          <w:rFonts w:ascii="Arial" w:hAnsi="Arial" w:cs="Arial"/>
          <w:noProof/>
          <w:color w:val="auto"/>
          <w:sz w:val="20"/>
          <w:szCs w:val="20"/>
        </w:rPr>
        <w:t>1</w:t>
      </w:r>
      <w:r w:rsidRPr="00551BF7">
        <w:rPr>
          <w:rFonts w:ascii="Arial" w:hAnsi="Arial" w:cs="Arial"/>
          <w:color w:val="auto"/>
          <w:sz w:val="20"/>
          <w:szCs w:val="20"/>
        </w:rPr>
        <w:fldChar w:fldCharType="end"/>
      </w:r>
      <w:r w:rsidR="00141231" w:rsidRPr="00551BF7">
        <w:rPr>
          <w:rFonts w:ascii="Arial" w:hAnsi="Arial" w:cs="Arial"/>
          <w:color w:val="auto"/>
          <w:sz w:val="20"/>
          <w:szCs w:val="20"/>
        </w:rPr>
        <w:t xml:space="preserve">: </w:t>
      </w:r>
      <w:r w:rsidR="001E147E" w:rsidRPr="00551BF7">
        <w:rPr>
          <w:rFonts w:ascii="Arial" w:hAnsi="Arial" w:cs="Arial"/>
          <w:color w:val="auto"/>
          <w:sz w:val="20"/>
          <w:szCs w:val="20"/>
        </w:rPr>
        <w:t>R</w:t>
      </w:r>
      <w:r w:rsidRPr="00551BF7">
        <w:rPr>
          <w:rFonts w:ascii="Arial" w:hAnsi="Arial" w:cs="Arial"/>
          <w:color w:val="auto"/>
          <w:sz w:val="20"/>
          <w:szCs w:val="20"/>
        </w:rPr>
        <w:t xml:space="preserve">epresents the major ions </w:t>
      </w:r>
      <w:r w:rsidR="00E8694F" w:rsidRPr="00551BF7">
        <w:rPr>
          <w:rFonts w:ascii="Arial" w:hAnsi="Arial" w:cs="Arial"/>
          <w:color w:val="auto"/>
          <w:sz w:val="20"/>
          <w:szCs w:val="20"/>
        </w:rPr>
        <w:t xml:space="preserve">from </w:t>
      </w:r>
      <w:r w:rsidR="00BA5FC4" w:rsidRPr="00551BF7">
        <w:rPr>
          <w:rFonts w:ascii="Arial" w:hAnsi="Arial" w:cs="Arial"/>
          <w:color w:val="auto"/>
          <w:sz w:val="20"/>
          <w:szCs w:val="20"/>
        </w:rPr>
        <w:t>Namaqualand</w:t>
      </w:r>
      <w:r w:rsidRPr="00551BF7">
        <w:rPr>
          <w:rFonts w:ascii="Arial" w:hAnsi="Arial" w:cs="Arial"/>
          <w:color w:val="auto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2897"/>
        <w:gridCol w:w="2835"/>
      </w:tblGrid>
      <w:tr w:rsidR="001E147E" w:rsidRPr="00551BF7" w14:paraId="63FFBFC1" w14:textId="77777777" w:rsidTr="001708FC">
        <w:trPr>
          <w:trHeight w:val="280"/>
        </w:trPr>
        <w:tc>
          <w:tcPr>
            <w:tcW w:w="2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B8CA6" w14:textId="77777777" w:rsidR="001E147E" w:rsidRPr="00551BF7" w:rsidRDefault="001E147E" w:rsidP="00551BF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51BF7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A5FC4" w:rsidRPr="00551BF7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9851" w14:textId="77777777" w:rsidR="00F106FE" w:rsidRPr="00551BF7" w:rsidRDefault="00F106FE" w:rsidP="005D46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B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51B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ADDIN EN.CITE &lt;EndNote&gt;&lt;Cite&gt;&lt;Author&gt;Abiye&lt;/Author&gt;&lt;Year&gt;2013&lt;/Year&gt;&lt;RecNum&gt;116&lt;/RecNum&gt;&lt;DisplayText&gt;(Abiye and Leshomo, 2013)&lt;/DisplayText&gt;&lt;record&gt;&lt;rec-number&gt;116&lt;/rec-number&gt;&lt;foreign-keys&gt;&lt;key app="EN" db-id="sfrvaxp2tpfrsse5sa1xafxkw0wf9wadpds5" timestamp="1561857503"&gt;116&lt;/key&gt;&lt;/foreign-keys&gt;&lt;ref-type name="Journal Article"&gt;17&lt;/ref-type&gt;&lt;contributors&gt;&lt;authors&gt;&lt;author&gt;Abiye, Tamiru A.&lt;/author&gt;&lt;author&gt;Leshomo, Joyce T.&lt;/author&gt;&lt;/authors&gt;&lt;/contributors&gt;&lt;titles&gt;&lt;title&gt;Groundwater flow and radioactivity in Namaqualand, South Africa&lt;/title&gt;&lt;secondary-title&gt;Environmental Earth Sciences&lt;/secondary-title&gt;&lt;/titles&gt;&lt;periodical&gt;&lt;full-title&gt;Environmental Earth Sciences&lt;/full-title&gt;&lt;/periodical&gt;&lt;pages&gt;281-293&lt;/pages&gt;&lt;volume&gt;70&lt;/volume&gt;&lt;number&gt;1&lt;/number&gt;&lt;dates&gt;&lt;year&gt;2013&lt;/year&gt;&lt;pub-dates&gt;&lt;date&gt;September 01&lt;/date&gt;&lt;/pub-dates&gt;&lt;/dates&gt;&lt;isbn&gt;1866-6299&lt;/isbn&gt;&lt;label&gt;Abiye2013&lt;/label&gt;&lt;work-type&gt;journal article&lt;/work-type&gt;&lt;urls&gt;&lt;related-urls&gt;&lt;url&gt;https://doi.org/10.1007/s12665-012-2126-9&lt;/url&gt;&lt;/related-urls&gt;&lt;/urls&gt;&lt;electronic-resource-num&gt;10.1007/s12665-012-2126-9&lt;/electronic-resource-num&gt;&lt;/record&gt;&lt;/Cite&gt;&lt;/EndNote&gt;</w:instrText>
            </w:r>
            <w:r w:rsidRPr="00551B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51B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(Abiye and Leshomo, 2013)</w:t>
            </w:r>
            <w:r w:rsidRPr="00551B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AD3375E" w14:textId="77777777" w:rsidR="001E147E" w:rsidRPr="00551BF7" w:rsidRDefault="00DF390C" w:rsidP="005D46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1B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51B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ADDIN EN.CITE &lt;EndNote&gt;&lt;Cite&gt;&lt;Author&gt;Erdogan&lt;/Author&gt;&lt;Year&gt;2019&lt;/Year&gt;&lt;RecNum&gt;341&lt;/RecNum&gt;&lt;DisplayText&gt;(Erdogan&lt;style face="italic"&gt; et al.&lt;/style&gt;, 2019)&lt;/DisplayText&gt;&lt;record&gt;&lt;rec-number&gt;341&lt;/rec-number&gt;&lt;foreign-keys&gt;&lt;key app="EN" db-id="sfrvaxp2tpfrsse5sa1xafxkw0wf9wadpds5" timestamp="1569905133"&gt;341&lt;/key&gt;&lt;/foreign-keys&gt;&lt;ref-type name="Journal Article"&gt;17&lt;/ref-type&gt;&lt;contributors&gt;&lt;authors&gt;&lt;author&gt;Erdogan, IG&lt;/author&gt;&lt;author&gt;Fosso-Kankeu, E&lt;/author&gt;&lt;author&gt;Ntwampe, SKO&lt;/author&gt;&lt;author&gt;Waanders, FB&lt;/author&gt;&lt;author&gt;Hoth, N&lt;/author&gt;&lt;author&gt;Rand, A&lt;/author&gt;&lt;/authors&gt;&lt;/contributors&gt;&lt;titles&gt;&lt;title&gt;Groundwater as an alternative source to irregular surface water in the O’Kiep area, Namaqualand, South Africa&lt;/title&gt;&lt;secondary-title&gt;Physics and Chemistry of the Earth, Parts A/B/C&lt;/secondary-title&gt;&lt;/titles&gt;&lt;periodical&gt;&lt;full-title&gt;Physics and Chemistry of the Earth, Parts A/B/C&lt;/full-title&gt;&lt;/periodical&gt;&lt;dates&gt;&lt;year&gt;2019&lt;/year&gt;&lt;/dates&gt;&lt;isbn&gt;1474-7065&lt;/isbn&gt;&lt;urls&gt;&lt;/urls&gt;&lt;/record&gt;&lt;/Cite&gt;&lt;/EndNote&gt;</w:instrText>
            </w:r>
            <w:r w:rsidRPr="00551B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51B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(Erdogan</w:t>
            </w:r>
            <w:r w:rsidRPr="00551BF7">
              <w:rPr>
                <w:rFonts w:ascii="Arial" w:hAnsi="Arial" w:cs="Arial"/>
                <w:b/>
                <w:bCs/>
                <w:i/>
                <w:noProof/>
                <w:sz w:val="20"/>
                <w:szCs w:val="20"/>
              </w:rPr>
              <w:t xml:space="preserve"> et al.</w:t>
            </w:r>
            <w:r w:rsidRPr="00551B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, 2019)</w:t>
            </w:r>
            <w:r w:rsidRPr="00551B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E147E" w:rsidRPr="00551BF7" w14:paraId="61698656" w14:textId="77777777" w:rsidTr="00903391">
        <w:trPr>
          <w:trHeight w:val="270"/>
        </w:trPr>
        <w:tc>
          <w:tcPr>
            <w:tcW w:w="27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56C2833" w14:textId="77777777" w:rsidR="001E147E" w:rsidRPr="00551BF7" w:rsidRDefault="001E147E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14F2B9C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7.11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548B58B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</w:tr>
      <w:tr w:rsidR="001E147E" w:rsidRPr="00551BF7" w14:paraId="24720337" w14:textId="77777777" w:rsidTr="00903391">
        <w:trPr>
          <w:trHeight w:val="270"/>
        </w:trPr>
        <w:tc>
          <w:tcPr>
            <w:tcW w:w="2768" w:type="dxa"/>
            <w:tcBorders>
              <w:right w:val="single" w:sz="4" w:space="0" w:color="auto"/>
            </w:tcBorders>
            <w:noWrap/>
            <w:hideMark/>
          </w:tcPr>
          <w:p w14:paraId="28538BAD" w14:textId="77777777" w:rsidR="001E147E" w:rsidRPr="00551BF7" w:rsidRDefault="001E147E" w:rsidP="002837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 xml:space="preserve">Eh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8223E0C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29.2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hideMark/>
          </w:tcPr>
          <w:p w14:paraId="44B30FCD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-57.0</w:t>
            </w:r>
          </w:p>
        </w:tc>
      </w:tr>
      <w:tr w:rsidR="001E147E" w:rsidRPr="00551BF7" w14:paraId="59F646AD" w14:textId="77777777" w:rsidTr="00903391">
        <w:trPr>
          <w:trHeight w:val="270"/>
        </w:trPr>
        <w:tc>
          <w:tcPr>
            <w:tcW w:w="2768" w:type="dxa"/>
            <w:tcBorders>
              <w:right w:val="single" w:sz="4" w:space="0" w:color="auto"/>
            </w:tcBorders>
            <w:noWrap/>
            <w:hideMark/>
          </w:tcPr>
          <w:p w14:paraId="44F2235B" w14:textId="77777777" w:rsidR="001E147E" w:rsidRPr="00551BF7" w:rsidRDefault="001E147E" w:rsidP="002837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84333C0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hideMark/>
          </w:tcPr>
          <w:p w14:paraId="6525107C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</w:tr>
      <w:tr w:rsidR="001E147E" w:rsidRPr="00551BF7" w14:paraId="6CE27965" w14:textId="77777777" w:rsidTr="00903391">
        <w:trPr>
          <w:trHeight w:val="270"/>
        </w:trPr>
        <w:tc>
          <w:tcPr>
            <w:tcW w:w="2768" w:type="dxa"/>
            <w:tcBorders>
              <w:right w:val="single" w:sz="4" w:space="0" w:color="auto"/>
            </w:tcBorders>
            <w:noWrap/>
            <w:hideMark/>
          </w:tcPr>
          <w:p w14:paraId="58024EB0" w14:textId="77777777" w:rsidR="001E147E" w:rsidRPr="00551BF7" w:rsidRDefault="001E147E" w:rsidP="002837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 xml:space="preserve">EC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B9188BB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2.04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hideMark/>
          </w:tcPr>
          <w:p w14:paraId="4937631F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</w:tr>
      <w:tr w:rsidR="001E147E" w:rsidRPr="00551BF7" w14:paraId="632D07F1" w14:textId="77777777" w:rsidTr="00903391">
        <w:trPr>
          <w:trHeight w:val="270"/>
        </w:trPr>
        <w:tc>
          <w:tcPr>
            <w:tcW w:w="2768" w:type="dxa"/>
            <w:tcBorders>
              <w:right w:val="single" w:sz="4" w:space="0" w:color="auto"/>
            </w:tcBorders>
            <w:noWrap/>
            <w:hideMark/>
          </w:tcPr>
          <w:p w14:paraId="47580F6D" w14:textId="77777777" w:rsidR="001E147E" w:rsidRPr="00551BF7" w:rsidRDefault="001E147E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 xml:space="preserve">TDS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854ACA1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hideMark/>
          </w:tcPr>
          <w:p w14:paraId="036F62C6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1793</w:t>
            </w:r>
          </w:p>
        </w:tc>
      </w:tr>
      <w:tr w:rsidR="001E147E" w:rsidRPr="00551BF7" w14:paraId="5747FA30" w14:textId="77777777" w:rsidTr="00903391">
        <w:trPr>
          <w:trHeight w:val="270"/>
        </w:trPr>
        <w:tc>
          <w:tcPr>
            <w:tcW w:w="2768" w:type="dxa"/>
            <w:tcBorders>
              <w:right w:val="single" w:sz="4" w:space="0" w:color="auto"/>
            </w:tcBorders>
            <w:noWrap/>
            <w:hideMark/>
          </w:tcPr>
          <w:p w14:paraId="5196835D" w14:textId="77777777" w:rsidR="001E147E" w:rsidRPr="00551BF7" w:rsidRDefault="001E147E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Alk</w:t>
            </w:r>
            <w:r w:rsidR="00F807B4" w:rsidRPr="00551BF7">
              <w:rPr>
                <w:rFonts w:ascii="Arial" w:hAnsi="Arial" w:cs="Arial"/>
                <w:sz w:val="20"/>
                <w:szCs w:val="20"/>
              </w:rPr>
              <w:t>alinity</w:t>
            </w:r>
            <w:r w:rsidR="009B4408" w:rsidRPr="00551BF7">
              <w:rPr>
                <w:rFonts w:ascii="Arial" w:hAnsi="Arial" w:cs="Arial"/>
                <w:sz w:val="20"/>
                <w:szCs w:val="20"/>
                <w:vertAlign w:val="subscript"/>
              </w:rPr>
              <w:t>(Total)</w:t>
            </w:r>
            <w:r w:rsidRPr="00551B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63A6652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hideMark/>
          </w:tcPr>
          <w:p w14:paraId="597421F8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</w:tr>
      <w:tr w:rsidR="001E147E" w:rsidRPr="00551BF7" w14:paraId="0354637C" w14:textId="77777777" w:rsidTr="00903391">
        <w:trPr>
          <w:trHeight w:val="270"/>
        </w:trPr>
        <w:tc>
          <w:tcPr>
            <w:tcW w:w="2768" w:type="dxa"/>
            <w:tcBorders>
              <w:right w:val="single" w:sz="4" w:space="0" w:color="auto"/>
            </w:tcBorders>
            <w:noWrap/>
            <w:hideMark/>
          </w:tcPr>
          <w:p w14:paraId="7F55EE22" w14:textId="77777777" w:rsidR="001E147E" w:rsidRPr="00551BF7" w:rsidRDefault="001E147E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 xml:space="preserve">Na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E9D815E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hideMark/>
          </w:tcPr>
          <w:p w14:paraId="1B78C619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</w:tr>
      <w:tr w:rsidR="001E147E" w:rsidRPr="00551BF7" w14:paraId="1263F423" w14:textId="77777777" w:rsidTr="00903391">
        <w:trPr>
          <w:trHeight w:val="270"/>
        </w:trPr>
        <w:tc>
          <w:tcPr>
            <w:tcW w:w="2768" w:type="dxa"/>
            <w:tcBorders>
              <w:right w:val="single" w:sz="4" w:space="0" w:color="auto"/>
            </w:tcBorders>
            <w:noWrap/>
            <w:hideMark/>
          </w:tcPr>
          <w:p w14:paraId="57793A94" w14:textId="77777777" w:rsidR="001E147E" w:rsidRPr="00551BF7" w:rsidRDefault="001E147E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 xml:space="preserve">Mg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C911E3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51.5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hideMark/>
          </w:tcPr>
          <w:p w14:paraId="1CC0254E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67.3</w:t>
            </w:r>
          </w:p>
        </w:tc>
      </w:tr>
      <w:tr w:rsidR="001E147E" w:rsidRPr="00551BF7" w14:paraId="231464C1" w14:textId="77777777" w:rsidTr="00903391">
        <w:trPr>
          <w:trHeight w:val="270"/>
        </w:trPr>
        <w:tc>
          <w:tcPr>
            <w:tcW w:w="2768" w:type="dxa"/>
            <w:tcBorders>
              <w:right w:val="single" w:sz="4" w:space="0" w:color="auto"/>
            </w:tcBorders>
            <w:noWrap/>
            <w:hideMark/>
          </w:tcPr>
          <w:p w14:paraId="1F998B2E" w14:textId="77777777" w:rsidR="001E147E" w:rsidRPr="00551BF7" w:rsidRDefault="001E147E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 xml:space="preserve">K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7D1A7B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5.69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hideMark/>
          </w:tcPr>
          <w:p w14:paraId="3A6DD86B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</w:tr>
      <w:tr w:rsidR="001E147E" w:rsidRPr="00551BF7" w14:paraId="2E6252BB" w14:textId="77777777" w:rsidTr="00903391">
        <w:trPr>
          <w:trHeight w:val="270"/>
        </w:trPr>
        <w:tc>
          <w:tcPr>
            <w:tcW w:w="2768" w:type="dxa"/>
            <w:tcBorders>
              <w:right w:val="single" w:sz="4" w:space="0" w:color="auto"/>
            </w:tcBorders>
            <w:noWrap/>
            <w:hideMark/>
          </w:tcPr>
          <w:p w14:paraId="6069F875" w14:textId="77777777" w:rsidR="001E147E" w:rsidRPr="00551BF7" w:rsidRDefault="001E147E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 xml:space="preserve">Ca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C6D911F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78.5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hideMark/>
          </w:tcPr>
          <w:p w14:paraId="72652C53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184</w:t>
            </w:r>
          </w:p>
        </w:tc>
      </w:tr>
      <w:tr w:rsidR="001E147E" w:rsidRPr="00551BF7" w14:paraId="0193FA00" w14:textId="77777777" w:rsidTr="00903391">
        <w:trPr>
          <w:trHeight w:val="270"/>
        </w:trPr>
        <w:tc>
          <w:tcPr>
            <w:tcW w:w="2768" w:type="dxa"/>
            <w:tcBorders>
              <w:right w:val="single" w:sz="4" w:space="0" w:color="auto"/>
            </w:tcBorders>
            <w:noWrap/>
            <w:hideMark/>
          </w:tcPr>
          <w:p w14:paraId="0D0C9D0A" w14:textId="77777777" w:rsidR="001E147E" w:rsidRPr="00551BF7" w:rsidRDefault="001E147E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 xml:space="preserve">Cl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7F13896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hideMark/>
          </w:tcPr>
          <w:p w14:paraId="3C14B5EC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470</w:t>
            </w:r>
          </w:p>
        </w:tc>
      </w:tr>
      <w:tr w:rsidR="001E147E" w:rsidRPr="00551BF7" w14:paraId="16AE9BE9" w14:textId="77777777" w:rsidTr="00903391">
        <w:trPr>
          <w:trHeight w:val="270"/>
        </w:trPr>
        <w:tc>
          <w:tcPr>
            <w:tcW w:w="2768" w:type="dxa"/>
            <w:tcBorders>
              <w:right w:val="single" w:sz="4" w:space="0" w:color="auto"/>
            </w:tcBorders>
            <w:noWrap/>
            <w:hideMark/>
          </w:tcPr>
          <w:p w14:paraId="24EA8E9E" w14:textId="77777777" w:rsidR="001E147E" w:rsidRPr="00551BF7" w:rsidRDefault="001E147E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NO</w:t>
            </w:r>
            <w:r w:rsidRPr="00551BF7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551B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56E1B37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27.3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hideMark/>
          </w:tcPr>
          <w:p w14:paraId="7C16EDD2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</w:tr>
      <w:tr w:rsidR="001E147E" w:rsidRPr="00551BF7" w14:paraId="40105943" w14:textId="77777777" w:rsidTr="00903391">
        <w:trPr>
          <w:trHeight w:val="270"/>
        </w:trPr>
        <w:tc>
          <w:tcPr>
            <w:tcW w:w="2768" w:type="dxa"/>
            <w:tcBorders>
              <w:right w:val="single" w:sz="4" w:space="0" w:color="auto"/>
            </w:tcBorders>
            <w:noWrap/>
            <w:hideMark/>
          </w:tcPr>
          <w:p w14:paraId="439FEE9E" w14:textId="77777777" w:rsidR="001E147E" w:rsidRPr="00551BF7" w:rsidRDefault="001E147E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PO</w:t>
            </w:r>
            <w:r w:rsidRPr="00551BF7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551B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9920D58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1.41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hideMark/>
          </w:tcPr>
          <w:p w14:paraId="2316E307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</w:tr>
      <w:tr w:rsidR="001E147E" w:rsidRPr="00551BF7" w14:paraId="23F4B46A" w14:textId="77777777" w:rsidTr="00903391">
        <w:trPr>
          <w:trHeight w:val="270"/>
        </w:trPr>
        <w:tc>
          <w:tcPr>
            <w:tcW w:w="2768" w:type="dxa"/>
            <w:tcBorders>
              <w:right w:val="single" w:sz="4" w:space="0" w:color="auto"/>
            </w:tcBorders>
            <w:noWrap/>
            <w:hideMark/>
          </w:tcPr>
          <w:p w14:paraId="4E3D3163" w14:textId="77777777" w:rsidR="001E147E" w:rsidRPr="00551BF7" w:rsidRDefault="001E147E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SO</w:t>
            </w:r>
            <w:r w:rsidRPr="00551BF7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551B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9C78D6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hideMark/>
          </w:tcPr>
          <w:p w14:paraId="39D4635D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455</w:t>
            </w:r>
          </w:p>
        </w:tc>
      </w:tr>
      <w:tr w:rsidR="001E147E" w:rsidRPr="00551BF7" w14:paraId="20428FEC" w14:textId="77777777" w:rsidTr="00903391">
        <w:trPr>
          <w:trHeight w:val="270"/>
        </w:trPr>
        <w:tc>
          <w:tcPr>
            <w:tcW w:w="2768" w:type="dxa"/>
            <w:tcBorders>
              <w:right w:val="single" w:sz="4" w:space="0" w:color="auto"/>
            </w:tcBorders>
            <w:noWrap/>
            <w:hideMark/>
          </w:tcPr>
          <w:p w14:paraId="7DBA00E0" w14:textId="77777777" w:rsidR="001E147E" w:rsidRPr="00551BF7" w:rsidRDefault="001E147E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 xml:space="preserve">Zn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3C07E52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hideMark/>
          </w:tcPr>
          <w:p w14:paraId="6ABAEDD2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E147E" w:rsidRPr="00551BF7" w14:paraId="72C51DD0" w14:textId="77777777" w:rsidTr="00903391">
        <w:trPr>
          <w:trHeight w:val="270"/>
        </w:trPr>
        <w:tc>
          <w:tcPr>
            <w:tcW w:w="2768" w:type="dxa"/>
            <w:tcBorders>
              <w:right w:val="single" w:sz="4" w:space="0" w:color="auto"/>
            </w:tcBorders>
            <w:noWrap/>
            <w:hideMark/>
          </w:tcPr>
          <w:p w14:paraId="3498032A" w14:textId="77777777" w:rsidR="001E147E" w:rsidRPr="00551BF7" w:rsidRDefault="001E147E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 xml:space="preserve">Fe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6BE1F19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hideMark/>
          </w:tcPr>
          <w:p w14:paraId="06BBEECF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</w:tr>
      <w:tr w:rsidR="001E147E" w:rsidRPr="00551BF7" w14:paraId="282024CE" w14:textId="77777777" w:rsidTr="00903391">
        <w:trPr>
          <w:trHeight w:val="270"/>
        </w:trPr>
        <w:tc>
          <w:tcPr>
            <w:tcW w:w="2768" w:type="dxa"/>
            <w:tcBorders>
              <w:right w:val="single" w:sz="4" w:space="0" w:color="auto"/>
            </w:tcBorders>
            <w:noWrap/>
            <w:hideMark/>
          </w:tcPr>
          <w:p w14:paraId="0F15B19F" w14:textId="77777777" w:rsidR="001E147E" w:rsidRPr="00551BF7" w:rsidRDefault="001E147E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 xml:space="preserve">Cd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E4BDA62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hideMark/>
          </w:tcPr>
          <w:p w14:paraId="4F05AF3A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1E147E" w:rsidRPr="00551BF7" w14:paraId="3A05BEBD" w14:textId="77777777" w:rsidTr="00903391">
        <w:trPr>
          <w:trHeight w:val="270"/>
        </w:trPr>
        <w:tc>
          <w:tcPr>
            <w:tcW w:w="2768" w:type="dxa"/>
            <w:tcBorders>
              <w:right w:val="single" w:sz="4" w:space="0" w:color="auto"/>
            </w:tcBorders>
            <w:noWrap/>
            <w:hideMark/>
          </w:tcPr>
          <w:p w14:paraId="7430B96A" w14:textId="77777777" w:rsidR="001E147E" w:rsidRPr="00551BF7" w:rsidRDefault="001E147E" w:rsidP="00551BF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 xml:space="preserve">Cr </w:t>
            </w: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61BC2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noWrap/>
            <w:hideMark/>
          </w:tcPr>
          <w:p w14:paraId="78A3ABE1" w14:textId="77777777" w:rsidR="001E147E" w:rsidRPr="00551BF7" w:rsidRDefault="001E147E" w:rsidP="005D46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BF7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</w:tbl>
    <w:p w14:paraId="09733700" w14:textId="77777777" w:rsidR="002066F5" w:rsidRPr="00551BF7" w:rsidRDefault="00DE1374" w:rsidP="00551BF7">
      <w:pPr>
        <w:spacing w:after="0" w:line="360" w:lineRule="auto"/>
        <w:rPr>
          <w:rFonts w:ascii="Arial" w:hAnsi="Arial" w:cs="Arial"/>
          <w:sz w:val="20"/>
          <w:szCs w:val="20"/>
        </w:rPr>
        <w:sectPr w:rsidR="002066F5" w:rsidRPr="00551BF7"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51BF7">
        <w:rPr>
          <w:rFonts w:ascii="Arial" w:hAnsi="Arial" w:cs="Arial"/>
          <w:sz w:val="20"/>
          <w:szCs w:val="20"/>
        </w:rPr>
        <w:t>The units are all in mg/L</w:t>
      </w:r>
      <w:r w:rsidR="0055651F" w:rsidRPr="00551BF7">
        <w:rPr>
          <w:rFonts w:ascii="Arial" w:hAnsi="Arial" w:cs="Arial"/>
          <w:sz w:val="20"/>
          <w:szCs w:val="20"/>
        </w:rPr>
        <w:t xml:space="preserve"> with the exception of </w:t>
      </w:r>
      <w:r w:rsidR="00296F32" w:rsidRPr="00551BF7">
        <w:rPr>
          <w:rFonts w:ascii="Arial" w:hAnsi="Arial" w:cs="Arial"/>
          <w:sz w:val="20"/>
          <w:szCs w:val="20"/>
        </w:rPr>
        <w:t>EC (mS/cm)</w:t>
      </w:r>
      <w:r w:rsidR="00C37542" w:rsidRPr="00551BF7">
        <w:rPr>
          <w:rFonts w:ascii="Arial" w:hAnsi="Arial" w:cs="Arial"/>
          <w:sz w:val="20"/>
          <w:szCs w:val="20"/>
        </w:rPr>
        <w:t>,</w:t>
      </w:r>
      <w:r w:rsidR="00235FA0" w:rsidRPr="00551BF7">
        <w:rPr>
          <w:rFonts w:ascii="Arial" w:hAnsi="Arial" w:cs="Arial"/>
          <w:sz w:val="20"/>
          <w:szCs w:val="20"/>
        </w:rPr>
        <w:t xml:space="preserve"> Eh (mV),</w:t>
      </w:r>
      <w:r w:rsidR="00296F32" w:rsidRPr="00551BF7">
        <w:rPr>
          <w:rFonts w:ascii="Arial" w:hAnsi="Arial" w:cs="Arial"/>
          <w:sz w:val="20"/>
          <w:szCs w:val="20"/>
        </w:rPr>
        <w:t xml:space="preserve"> </w:t>
      </w:r>
      <w:r w:rsidR="00F807B4" w:rsidRPr="00551BF7">
        <w:rPr>
          <w:rFonts w:ascii="Arial" w:hAnsi="Arial" w:cs="Arial"/>
          <w:sz w:val="20"/>
          <w:szCs w:val="20"/>
        </w:rPr>
        <w:t>Temperature</w:t>
      </w:r>
      <w:r w:rsidR="00C37542" w:rsidRPr="00551BF7">
        <w:rPr>
          <w:rFonts w:ascii="Arial" w:hAnsi="Arial" w:cs="Arial"/>
          <w:sz w:val="20"/>
          <w:szCs w:val="20"/>
        </w:rPr>
        <w:t xml:space="preserve"> °C</w:t>
      </w:r>
      <w:r w:rsidR="00235FA0" w:rsidRPr="00551BF7">
        <w:rPr>
          <w:rFonts w:ascii="Arial" w:hAnsi="Arial" w:cs="Arial"/>
          <w:sz w:val="20"/>
          <w:szCs w:val="20"/>
        </w:rPr>
        <w:t xml:space="preserve"> </w:t>
      </w:r>
      <w:r w:rsidR="00254A29" w:rsidRPr="00551BF7">
        <w:rPr>
          <w:rFonts w:ascii="Arial" w:hAnsi="Arial" w:cs="Arial"/>
          <w:sz w:val="20"/>
          <w:szCs w:val="20"/>
        </w:rPr>
        <w:t>and pH</w:t>
      </w:r>
    </w:p>
    <w:p w14:paraId="2411A26A" w14:textId="77777777" w:rsidR="002066F5" w:rsidRPr="00551BF7" w:rsidRDefault="00BA323D" w:rsidP="00551BF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51BF7">
        <w:rPr>
          <w:rFonts w:ascii="Arial" w:hAnsi="Arial" w:cs="Arial"/>
          <w:sz w:val="20"/>
          <w:szCs w:val="20"/>
        </w:rPr>
        <w:lastRenderedPageBreak/>
        <w:t>Table 2: Saturation index of minerals in groundwater</w:t>
      </w:r>
      <w:r w:rsidR="00A46835" w:rsidRPr="00551BF7">
        <w:rPr>
          <w:rFonts w:ascii="Arial" w:hAnsi="Arial" w:cs="Arial"/>
          <w:sz w:val="20"/>
          <w:szCs w:val="20"/>
        </w:rPr>
        <w:t xml:space="preserve"> </w:t>
      </w:r>
    </w:p>
    <w:tbl>
      <w:tblPr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850"/>
        <w:gridCol w:w="1418"/>
        <w:gridCol w:w="2268"/>
        <w:gridCol w:w="1843"/>
        <w:gridCol w:w="850"/>
        <w:gridCol w:w="992"/>
        <w:gridCol w:w="1134"/>
        <w:gridCol w:w="2694"/>
      </w:tblGrid>
      <w:tr w:rsidR="00BA323D" w:rsidRPr="008813E4" w14:paraId="4E648356" w14:textId="77777777" w:rsidTr="00DC635B">
        <w:trPr>
          <w:trHeight w:hRule="exact" w:val="526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9084D0" w14:textId="77777777" w:rsidR="00BA323D" w:rsidRPr="008813E4" w:rsidRDefault="000A471B" w:rsidP="00551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2013</w:t>
            </w:r>
            <w:r w:rsidR="00BA323D" w:rsidRPr="008813E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0444" w14:textId="77777777" w:rsidR="00BA323D" w:rsidRPr="008813E4" w:rsidRDefault="000A471B" w:rsidP="00551B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2019</w:t>
            </w:r>
            <w:r w:rsidR="00BA323D"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1237C" w:rsidRPr="008813E4" w14:paraId="73E56BFA" w14:textId="77777777" w:rsidTr="00773DCF">
        <w:trPr>
          <w:trHeight w:hRule="exact" w:val="57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63E5" w14:textId="77777777" w:rsidR="00DE54F7" w:rsidRPr="008813E4" w:rsidRDefault="00DE54F7" w:rsidP="005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ZA"/>
              </w:rPr>
              <w:t xml:space="preserve">Phase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0003" w14:textId="77777777" w:rsidR="00DE54F7" w:rsidRPr="008813E4" w:rsidRDefault="00DE54F7" w:rsidP="005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594C" w14:textId="77777777" w:rsidR="00DE54F7" w:rsidRPr="008813E4" w:rsidRDefault="00DE54F7" w:rsidP="005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log IAP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E42" w14:textId="77777777" w:rsidR="00DE54F7" w:rsidRPr="008813E4" w:rsidRDefault="00DE54F7" w:rsidP="005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log K(295 K,1tm)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B5EA" w14:textId="77777777" w:rsidR="00DE54F7" w:rsidRPr="008813E4" w:rsidRDefault="00DE54F7" w:rsidP="005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A6FA" w14:textId="77777777" w:rsidR="00DE54F7" w:rsidRPr="008813E4" w:rsidRDefault="00DE54F7" w:rsidP="005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Phase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29DEA" w14:textId="77777777" w:rsidR="00DE54F7" w:rsidRPr="008813E4" w:rsidRDefault="00DE54F7" w:rsidP="00DE54F7">
            <w:pPr>
              <w:spacing w:after="0" w:line="240" w:lineRule="auto"/>
              <w:ind w:left="4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CC5C" w14:textId="77777777" w:rsidR="00DE54F7" w:rsidRPr="008813E4" w:rsidRDefault="00DE54F7" w:rsidP="00F878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log IAP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C1A9" w14:textId="77777777" w:rsidR="00DE54F7" w:rsidRPr="008813E4" w:rsidRDefault="00E96107" w:rsidP="005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log K(288 K,</w:t>
            </w:r>
            <w:r w:rsidR="00DE54F7" w:rsidRPr="008813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 </w:t>
            </w:r>
            <w:proofErr w:type="spellStart"/>
            <w:r w:rsidR="00DE54F7" w:rsidRPr="008813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atm</w:t>
            </w:r>
            <w:proofErr w:type="spellEnd"/>
            <w:r w:rsidR="00DE54F7" w:rsidRPr="008813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3AE0" w14:textId="77777777" w:rsidR="00DE54F7" w:rsidRPr="008813E4" w:rsidRDefault="00DE54F7" w:rsidP="00551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1237C" w:rsidRPr="008813E4" w14:paraId="7B4B0253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566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Anapaite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553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970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2AB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47287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74F1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Anapaite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0F9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768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6B3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E3F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0F51A4EA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2AC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Anhydrite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F60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588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727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27DC6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680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Anhydrite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DF0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696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A94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0C0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1237C" w:rsidRPr="008813E4" w14:paraId="037FF3E1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0713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Antarcticite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F40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122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38F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3C0FB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32EE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Antarcticite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1F5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9C3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4F3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3.85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FA4C" w14:textId="0FFC752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12A642F6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B00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Aragonite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5D6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163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98C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C88E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C1A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Aragonite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5B2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2E2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38E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-8.25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D7E4" w14:textId="79E2E1C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21237C" w:rsidRPr="008813E4" w14:paraId="5FBEDB50" w14:textId="77777777" w:rsidTr="00773DCF">
        <w:trPr>
          <w:trHeight w:hRule="exact" w:val="25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97E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Arcanite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7BA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017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352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-1.89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CAD31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2029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Arcanite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026A" w14:textId="58E5DA5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991D" w14:textId="40CDAD1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CA12" w14:textId="0E8238D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FAE4" w14:textId="43390AB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</w:tr>
      <w:tr w:rsidR="0021237C" w:rsidRPr="008813E4" w14:paraId="69A73AFC" w14:textId="77777777" w:rsidTr="00773DCF">
        <w:trPr>
          <w:trHeight w:hRule="exact" w:val="34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067C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Artinite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FD5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718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862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10.01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AC798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:3H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788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Artinite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6FAA" w14:textId="08FC241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CC6F" w14:textId="531FFCF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BF2" w14:textId="4BE4404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10.53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32CA" w14:textId="76A2162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:3H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6DB4394E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EB9F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Bassanite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886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-2.35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AB3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2D1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-3.89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8F28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:0.5H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E17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Bassanite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6EB2" w14:textId="46A4187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5BA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2B2E" w14:textId="1C8F98C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-3.81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5F0D" w14:textId="3D7618C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:0.5H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09A35F58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5F6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Bischofite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7B7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1D0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C08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400E5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1B6C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Bischofite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C8F8" w14:textId="204B2A2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8292" w14:textId="3BD321E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08E3" w14:textId="037437D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4.51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AAE2" w14:textId="7ACA499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022917AB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722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Bloedite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77E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C99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-13.59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46B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-2.35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0049E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B71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Bloedite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4EAB" w14:textId="68FBA35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B105" w14:textId="3884283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-12.46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B774" w14:textId="0DA4B9A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-2.35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9E2E" w14:textId="7917B9D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)2:4H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38BB044C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9D2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Brucite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336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4E7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A5A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DC601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3DB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Brucite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C77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903A" w14:textId="544A156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D30C" w14:textId="17CF611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17.79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1BE5" w14:textId="36D088A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504B9E91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0A4D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Brushite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702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49B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A88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C9F06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Ca(HPO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689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Brushite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6144" w14:textId="0C5EB2B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4392" w14:textId="30CA49E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1806" w14:textId="1732F43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6BC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Ca(HPO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1E3DEFA0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0DA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Burkeite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6AA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-23.94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2CA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-24.71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318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-0.77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1BA00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6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BE7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Burkeite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2B6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-21.97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D2C8" w14:textId="5B82287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-22.74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28DB" w14:textId="2A15492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-0.77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5078" w14:textId="4F112B7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6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2F007C8B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E936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52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-13.98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0A5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B18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54.48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EC6C0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B51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1E0E" w14:textId="27FB163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-16.35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CBBD" w14:textId="7850F16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39.77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487" w14:textId="3ADACDA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56.12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0B32" w14:textId="6A554BF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</w:tr>
      <w:tr w:rsidR="0021237C" w:rsidRPr="008813E4" w14:paraId="6DDBCD72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B23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FH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D4E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-35.51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AC3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37.76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396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73.27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02D0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64B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09F6" w14:textId="39AAFD4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-28.54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0CC4" w14:textId="1BDF619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46.95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9258" w14:textId="591FFA8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75.49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1D54" w14:textId="7D67915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12</w:t>
            </w:r>
          </w:p>
        </w:tc>
      </w:tr>
      <w:tr w:rsidR="0021237C" w:rsidRPr="008813E4" w14:paraId="0E367229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758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FH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206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-47.16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9B8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48.98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80C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96.14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E57B1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14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779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E202" w14:textId="7034EE6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-38.18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3913" w14:textId="790FCB0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60.44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594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98.62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EEA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14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7E1B5035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63B2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Ca(HPO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149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16F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ABF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F3F3D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Ca(HPO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13F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Ca(HPO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A4B3" w14:textId="1478A70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1795" w14:textId="5C4C957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7D95" w14:textId="6DAA1CB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776D" w14:textId="6F251A1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Ca(HPO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1237C" w:rsidRPr="008813E4" w14:paraId="23FD92CA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099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Ca(NO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091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-14.43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28E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B0E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5.89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818F3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Ca(NO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713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Ca(NO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3528" w14:textId="1CD2A7A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-16.36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01D7" w14:textId="010FBEA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8BCC" w14:textId="6397022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5.89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B9CB" w14:textId="0DF9491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Ca(NO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294074CF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148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E51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-99.78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D5C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41.47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19C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141.26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48B36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D89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3430" w14:textId="0EF90D5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-100.86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B74F" w14:textId="3D4638E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43.98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0913" w14:textId="20BBC1F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144.84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F149" w14:textId="33EE86D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</w:p>
        </w:tc>
      </w:tr>
      <w:tr w:rsidR="0021237C" w:rsidRPr="008813E4" w14:paraId="77F94A41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E34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9F2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-22.23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F01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44E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26.53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9BFB4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B6D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82EF" w14:textId="7433613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-19.64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F334" w14:textId="17113D0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C658" w14:textId="5C46742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26.53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D724" w14:textId="3449D47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76767924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2991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Ca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Fe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ZA"/>
              </w:rPr>
              <w:t>5(s)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325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-31.04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FAA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26.54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DA5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57.58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C6786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972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5(s)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928E" w14:textId="0380BAE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-26.19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0DD5" w14:textId="7C8F585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33.45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705A" w14:textId="619CED3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59.64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33F2" w14:textId="33A9F5C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5</w:t>
            </w:r>
          </w:p>
        </w:tc>
      </w:tr>
      <w:tr w:rsidR="0021237C" w:rsidRPr="008813E4" w14:paraId="6D27E170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5D0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Ca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(PO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alfa</w:t>
            </w:r>
            <w:proofErr w:type="spellEnd"/>
            <w:r w:rsidRPr="008813E4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A90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-1.07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E55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9.37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D6A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10.44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E7DBE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(PO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E8F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(PO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alfa</w:t>
            </w:r>
            <w:proofErr w:type="spellEnd"/>
            <w:r w:rsidRPr="008813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BF65" w14:textId="22BB856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0.74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7A34" w14:textId="3785CAA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11.73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080A" w14:textId="3339629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10.98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37BB" w14:textId="0F971FC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(PO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32F5B629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841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6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:13H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50A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-42.46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F36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26.74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DE1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69.2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58792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6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:13H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EAB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6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:13H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9AB7" w14:textId="27784FF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-36.51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0F43" w14:textId="2EE9150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33.87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3A5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70.38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A32B" w14:textId="0B1FD31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6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:13H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47CB4910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216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H(PO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:2.5H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61F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-3.37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8DB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17E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C70E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:2.5H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53D4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:2.5H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3020" w14:textId="4D9F7FD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1936" w14:textId="05CA28A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0170" w14:textId="48EEDD1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11.81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F0D6" w14:textId="59757BE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:2.5H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4FF748C7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EC67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lastRenderedPageBreak/>
              <w:t>CaCl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093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-14.95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2C5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0FB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A63CE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ED5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F044" w14:textId="57AF93E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-14.83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0E42" w14:textId="45116E6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E49B" w14:textId="1B8142D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C4A2" w14:textId="709D313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2FACE27D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D08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CaCl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F43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-12.3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5AD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E68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51CAB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C4F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5827" w14:textId="7FA77E9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-12.02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A5E3" w14:textId="51942CE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C782" w14:textId="4C19A06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C275" w14:textId="774D79C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6E344015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9A30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CaCl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710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-14.86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F9F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96C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C600C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998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CC51" w14:textId="6683BC7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-14.77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3330" w14:textId="7D7F12A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AAA0" w14:textId="232966D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B56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16901846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60E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CaCO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B6A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553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5D4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0FEE7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3EB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C2C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6E1B" w14:textId="0EFC40B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F5A6" w14:textId="172B880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B41B" w14:textId="3AE6FCA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3E41566A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FEC3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CaCrO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584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-31.66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E63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-34.77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D10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-3.11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9BD05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73A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4DB2" w14:textId="7AA81A9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-30.78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990D" w14:textId="44417C1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-33.80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7D6F" w14:textId="4A2161F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-3.01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F2E1" w14:textId="3B47AAA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</w:tr>
      <w:tr w:rsidR="0021237C" w:rsidRPr="008813E4" w14:paraId="1E6F7119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EE9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CaFe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AE4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E0F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15.32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577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21.69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7BB53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2C72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4(s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1A42" w14:textId="2F772EC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-2.88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3B0E" w14:textId="1F4267C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19.96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6333" w14:textId="7DB73D4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22.84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7093" w14:textId="6AAD360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</w:tr>
      <w:tr w:rsidR="0021237C" w:rsidRPr="008813E4" w14:paraId="461E0634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A0A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Calcite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E97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1AD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EB0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14D48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A950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Calcite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717C" w14:textId="0B7FCD6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552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6800" w14:textId="44C795E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-8.42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8FA2" w14:textId="4E4FE5E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21237C" w:rsidRPr="008813E4" w14:paraId="675691D3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0D64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CaMg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3B8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818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-35.01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2AC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-30.62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1120B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A8B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3C4" w14:textId="368889F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EB23" w14:textId="7E972EC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-31.48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4488" w14:textId="162A25A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-30.13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CC54" w14:textId="7382ABB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</w:tr>
      <w:tr w:rsidR="0021237C" w:rsidRPr="008813E4" w14:paraId="4036AC2B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5274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CaO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215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-21.81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F05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ABA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33.03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1EA13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18E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A3DE" w14:textId="2B1DEFE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-20.39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489A" w14:textId="08E96A4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0453" w14:textId="53E5138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33.88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CFD4" w14:textId="7D97C47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CaO</w:t>
            </w:r>
          </w:p>
        </w:tc>
      </w:tr>
      <w:tr w:rsidR="0021237C" w:rsidRPr="008813E4" w14:paraId="20CA326B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7B14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Carnallite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F1D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-17.07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D6E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-12.76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94E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259AD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KMgCl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E8F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Carnallite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350E" w14:textId="4473C6A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-16.52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02D9" w14:textId="4219058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-12.24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117A" w14:textId="3B88FB7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5C92" w14:textId="42D4ED1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KMgCl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7E8413A9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D037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Cd(CO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E3B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053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223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816EF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1BE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3CE8" w14:textId="0AD7F86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9D00" w14:textId="7B74922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-13.24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C146" w14:textId="7574103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-12.11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5DB6" w14:textId="4E9888E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1237C" w:rsidRPr="008813E4" w14:paraId="7D0AD1D3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470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Cd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FBD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-17.4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0DB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39.82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542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B2AC1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CA7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EDBD" w14:textId="5B05822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-20.31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1458" w14:textId="4F1533E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38.46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6602" w14:textId="0EA6D5F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58.77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463F" w14:textId="5407425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</w:tr>
      <w:tr w:rsidR="0021237C" w:rsidRPr="008813E4" w14:paraId="3E51FC69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7E1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Cd(OH)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3A1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CED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D37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14.01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BD1DC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035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C71F" w14:textId="73909CB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B1D3" w14:textId="248D228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C304" w14:textId="2C87003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14.39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68B8" w14:textId="3C1A324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5408651D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D305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Cd(SO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84D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7EF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35B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-0.07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B6E74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60C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3432" w14:textId="74A0E1D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43F3" w14:textId="4A44DE6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7653" w14:textId="44E1BB1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3F11" w14:textId="74E97AD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1237C" w:rsidRPr="008813E4" w14:paraId="22E04AE8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DFA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Cd(SO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):2.67H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F20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44B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025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2A7F9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):2.67H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E39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):2.67H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B4E5" w14:textId="6A6D15D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AE20" w14:textId="438C09E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E1E8" w14:textId="60A8C02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6AC8" w14:textId="5F5FAFD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):2.67H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04B047FE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6E5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Cd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B59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002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B42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47FE8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64E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D6AA" w14:textId="4E1D29C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-15.07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2A2D" w14:textId="1A621B8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C1E9" w14:textId="28B55D0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10.23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DF02" w14:textId="0ECF53C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27DE7267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7CE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Cd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5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0C3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EFA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751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12.67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55DFA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Cd5(PO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E91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5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342F" w14:textId="4FD8B04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-26.00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A937" w14:textId="732885C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-13.33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A163" w14:textId="3168230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12.67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16DA" w14:textId="73FEBE1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5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Cl</w:t>
            </w:r>
          </w:p>
        </w:tc>
      </w:tr>
      <w:tr w:rsidR="0021237C" w:rsidRPr="008813E4" w14:paraId="084ADA39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79EA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Cd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5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403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45C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242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19.84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5DB1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5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(PO4)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381D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5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BF38" w14:textId="46F0613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-23.12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7DF7" w14:textId="40C6F12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5688" w14:textId="40E1CC5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19.84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652B" w14:textId="2C57384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5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OH</w:t>
            </w:r>
          </w:p>
        </w:tc>
      </w:tr>
      <w:tr w:rsidR="0021237C" w:rsidRPr="008813E4" w14:paraId="59CD2848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67A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CdCl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DB7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D3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6D6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D4E60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892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9B3A" w14:textId="1D12BEA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E10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A508" w14:textId="1124340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-0.55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F58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5B2D81D3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4AD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CdCl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:2.5H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F20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C60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631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256EE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:2.5H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A18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:2.5H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C3C9" w14:textId="1D2572F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C6A4" w14:textId="3FBE2A3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6C80" w14:textId="21A7D7C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-1.94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4C22" w14:textId="25D30AE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:2.5H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1B8B1DDE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74C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CdCl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1E6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991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4BD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5974C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2E18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821C" w14:textId="40B8029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6C99" w14:textId="5BFF54C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104F" w14:textId="18CD93B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-1.64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81AA" w14:textId="75CC5FD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32C55B8E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58F9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CdO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415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63E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385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15.28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08F80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709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CdO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822F" w14:textId="37F6933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0357" w14:textId="6090C8B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F84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15.73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5CD7" w14:textId="06B22BE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CdO</w:t>
            </w:r>
            <w:proofErr w:type="spellEnd"/>
          </w:p>
        </w:tc>
      </w:tr>
      <w:tr w:rsidR="0021237C" w:rsidRPr="008813E4" w14:paraId="6E8FFDB2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19F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4(g)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3E1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-31.4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F44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58F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132.39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D42FD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CD7E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CH</w:t>
            </w:r>
            <w:r w:rsidRPr="008813E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74C2" w14:textId="7D6549C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-35.40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FBC8" w14:textId="083037C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2888" w14:textId="3B52B5A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136.15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D36F" w14:textId="273FBDD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</w:tr>
      <w:tr w:rsidR="0021237C" w:rsidRPr="008813E4" w14:paraId="477DCD25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949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Chloroapatite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59A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5C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10.59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194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094E1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5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Cl(PO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F8D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Chloroapatite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CE1D" w14:textId="2E2BA80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FF62" w14:textId="3CD9469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14.29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2C12" w14:textId="0E7274D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6.02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5D5E" w14:textId="0307581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5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Cl(PO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21237C" w:rsidRPr="008813E4" w14:paraId="5DCEE800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D0C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Chromite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D91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10.27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C71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25.85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6E8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15.58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04510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FeCr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928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Chromite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219F" w14:textId="712B573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CAE6" w14:textId="150217E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8FE1" w14:textId="446DB9A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16.75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78A9" w14:textId="01C9960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FeCr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</w:tr>
      <w:tr w:rsidR="0021237C" w:rsidRPr="008813E4" w14:paraId="027C1573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248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2(g)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821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-51.48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BDB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-48.4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241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3.08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62B98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95A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Cl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US"/>
              </w:rPr>
              <w:t>2(g)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0BCE" w14:textId="07DE3B8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-53.91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9E5A" w14:textId="481A3A4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-50.59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A53C" w14:textId="2F00955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3.32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DAA" w14:textId="2D8D6BB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1237C" w:rsidRPr="008813E4" w14:paraId="00AC0309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833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lastRenderedPageBreak/>
              <w:t>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(g)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B5C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-18.57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EB0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10.25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A9C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28.82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583EE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41E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715F" w14:textId="739E34F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-20.73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084C" w14:textId="26D4F22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540D" w14:textId="6D28A22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30.01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6E16" w14:textId="7F75B5B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</w:t>
            </w:r>
          </w:p>
        </w:tc>
      </w:tr>
      <w:tr w:rsidR="0021237C" w:rsidRPr="008813E4" w14:paraId="4CE78B57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16D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2(g)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BE4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871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FA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-18.16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C4EC8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2BD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BCAD" w14:textId="5CA4648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2B30" w14:textId="2F42941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-21.21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B151" w14:textId="5397DF4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-18.18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6B4F" w14:textId="1F8B7F6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4D232658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7A0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Cr(OH)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F85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-15.62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4DF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7B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928D0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241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B609" w14:textId="29B1596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-17.37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3588" w14:textId="22C6270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A06F" w14:textId="242C389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11.46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B040" w14:textId="0D9F973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43894CAD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E66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Cr(OH)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(H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41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464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-3.48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8B7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7AC3A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171D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4)(s)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A644" w14:textId="1125B05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5206" w14:textId="4B8AF6F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896C" w14:textId="6541ED5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B486" w14:textId="70E1484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1237C" w:rsidRPr="008813E4" w14:paraId="209F0109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F5F9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Cr(OH)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80F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5EA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73A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1F9E7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4DA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6392" w14:textId="4CA2806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AD76" w14:textId="442161C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3E0B" w14:textId="09EA943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EBFC" w14:textId="0941B75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21237C" w:rsidRPr="008813E4" w14:paraId="7FE9A854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6B9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Cr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72D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-45.89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EE1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44.76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596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90.65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F284D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FA77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4FC2" w14:textId="6C8FB7D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-48.98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AE27" w14:textId="3C7514E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DE7D" w14:textId="5ECDF27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93.16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56D3" w14:textId="7AA3332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</w:t>
            </w:r>
          </w:p>
        </w:tc>
      </w:tr>
      <w:tr w:rsidR="0021237C" w:rsidRPr="008813E4" w14:paraId="6DE63556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89E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Cr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AE8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-39.9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E59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-35.04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66B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4.86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2F5A8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34E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5FED" w14:textId="7300866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-46.64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DCE5" w14:textId="543659D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-40.57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EFD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6.07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0336" w14:textId="529A04A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21237C" w:rsidRPr="008813E4" w14:paraId="567FC629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14D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Cr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161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2AF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17.33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418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E2413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E56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Cr2O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5A3C" w14:textId="66D7047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78C7" w14:textId="06C5255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40FB" w14:textId="09A4136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8.95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E375" w14:textId="33406A6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21237C" w:rsidRPr="008813E4" w14:paraId="7A0AD896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F7B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CrCl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46F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-35.54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067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-22.63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A8F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12.91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284D5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EA7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14D5" w14:textId="61D1684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-39.36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EB3F" w14:textId="78CB140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-26.00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AEBF" w14:textId="6DEAABC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AD94" w14:textId="39EBD0B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04B52A49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3D9D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CrCl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135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-39.08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10C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-18.55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6FA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20.53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4811B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C6E3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6B41" w14:textId="68B51A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-43.44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81B2" w14:textId="3C5FF6A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-22.05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3E6A" w14:textId="239500A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21.39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3D8E" w14:textId="00F53B0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21237C" w:rsidRPr="008813E4" w14:paraId="5234D74E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E0C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025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70B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-15.74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036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-8.71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91C93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9A5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F71D" w14:textId="4569AB5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141D" w14:textId="4FA8BBB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-16.80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6AAF" w14:textId="2610481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-8.76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A6B8" w14:textId="1316764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1996B2D8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ABD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558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-42.99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467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-45.99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7F8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-3.00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CF234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2E5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8763" w14:textId="6D72B40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44.33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BB42" w14:textId="618B69A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-47.29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81BC" w14:textId="215A739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-2.96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C9F7" w14:textId="32584C2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21237C" w:rsidRPr="008813E4" w14:paraId="1922B15B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BF1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CrPO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4(green)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BF2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274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-3.48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1FD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-3.06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3672C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DA61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4(green)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895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-3.22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A508" w14:textId="7325667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DB21" w14:textId="55E084F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-3.06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55CE" w14:textId="359789F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</w:tr>
      <w:tr w:rsidR="0021237C" w:rsidRPr="008813E4" w14:paraId="1A44C99F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AAB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CrPO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4(purple)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840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CDF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-3.48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88B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2.56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B0B3F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0DD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4(purple)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5F74" w14:textId="6371464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B743" w14:textId="7CD9B82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622D" w14:textId="30A78D4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343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CrPO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</w:tr>
      <w:tr w:rsidR="0021237C" w:rsidRPr="008813E4" w14:paraId="6FE53572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8FA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Dolomite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0BE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B8B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-17.52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0A1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-17.06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E10A9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CaMg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5AE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Dolomite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A517" w14:textId="231C9C6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3448" w14:textId="5072881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-15.64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683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-16.90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4A24" w14:textId="3AAA5B1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CaMg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4586DF3F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459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Epsonite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3A6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4FC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3EA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D59EE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):7H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ED98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Epsonite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7A9D" w14:textId="0BA2341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-3.69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B4D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C9B0" w14:textId="4B439F8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-1.95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1FE8" w14:textId="5AA7670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):7H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708788E6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572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Ettringite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-Fe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D9F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-36.1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042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19.04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89C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55.14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A29A0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Ca6Fe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12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706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Ettringite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-Fe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52DF" w14:textId="477253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-25.99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0FFA" w14:textId="54DB183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30.65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B0EE" w14:textId="1552953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56.64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5C65" w14:textId="554CCD9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6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12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3088192C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C33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Fe(OH)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B89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9D9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A0E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12.93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1522F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8ED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770D" w14:textId="141CA6C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-3.97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DB21" w14:textId="2DD08A7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5DAC" w14:textId="1C326F0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13.36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83C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08DC1012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898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Fe(PO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99A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-3.89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3C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BCC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66630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1C36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5726" w14:textId="55DA9E3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30C2" w14:textId="48B5E0F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6828" w14:textId="02996C3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6.13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8CBD" w14:textId="201B605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1237C" w:rsidRPr="008813E4" w14:paraId="1885AE7E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3B1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805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-20.72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0AB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38.77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773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59.49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330CD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4CC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47E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-21.22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4C51" w14:textId="5C37E15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39.88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A77F" w14:textId="2A36255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61.10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BECD" w14:textId="0AB98AE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</w:p>
        </w:tc>
      </w:tr>
      <w:tr w:rsidR="0021237C" w:rsidRPr="008813E4" w14:paraId="35A5D2C1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E08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5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(OH)(PO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bookmarkStart w:id="0" w:name="_GoBack"/>
            <w:r w:rsidRPr="0064077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bookmarkEnd w:id="0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833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408.46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DB1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2D8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-402.32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25CA9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5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AC29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5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5D90" w14:textId="1B86F20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4730" w14:textId="014EB41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-402.32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C929" w14:textId="7DE1521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406.15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2A19" w14:textId="2A7FFA7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5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21237C" w:rsidRPr="008813E4" w14:paraId="67C83BBF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0F8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FeO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961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BC1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4A2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8A74B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FeO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587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FeO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5626" w14:textId="09D29E1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BAE1" w14:textId="52B32B8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4A17" w14:textId="4816EE7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340A" w14:textId="0DB0F30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FeO</w:t>
            </w:r>
            <w:proofErr w:type="spellEnd"/>
          </w:p>
        </w:tc>
      </w:tr>
      <w:tr w:rsidR="0021237C" w:rsidRPr="008813E4" w14:paraId="460EADE9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FF9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Ferrihydrite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(am)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A26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C24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D41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2.54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F2970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7F6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Ferrihydrite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(am)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566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976A" w14:textId="76BE384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7E9E" w14:textId="11B50C4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2.54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6DAE" w14:textId="38E393F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21237C" w:rsidRPr="008813E4" w14:paraId="60606001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ADA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Ferryhydrite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53C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179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DAE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3C5C9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88E6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Ferryhydrite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E4AF" w14:textId="4E8D0C4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D56E" w14:textId="1BC885B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BE38" w14:textId="32C7D27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3B58" w14:textId="2BA4279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21237C" w:rsidRPr="008813E4" w14:paraId="6F69EC40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F9A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Gaylussite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509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9CA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-18.71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814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6A226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:5H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31D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Gaylussite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F073" w14:textId="06F97F5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373C" w14:textId="26F3AFA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-16.82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A8E8" w14:textId="36E189F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-9.62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70ED" w14:textId="05B616F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)2:5H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076A4E87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3E0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Glaserite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87D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-32.76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87B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-40.51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694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-7.74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0F5F1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6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4D4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Glaserite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2316" w14:textId="3A579DA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-27.77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E6B9" w14:textId="777FC5C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-35.86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17F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-8.09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CAAD" w14:textId="5049106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6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</w:tr>
      <w:tr w:rsidR="0021237C" w:rsidRPr="008813E4" w14:paraId="6BC06E02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584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lastRenderedPageBreak/>
              <w:t>Glauberite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51D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-15.62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BD7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-13.63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2FB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DEDBB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F0F6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Glauberite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F202" w14:textId="60B27C4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-14.30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2B04" w14:textId="450D557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0EB3" w14:textId="0576190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2.05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9F1F" w14:textId="018CC03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035C7883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9256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Goethite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E92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B6B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744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928DD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FeOOH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7919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Goethite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778A" w14:textId="7346081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B96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ACA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855F" w14:textId="01F0664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FeOOH</w:t>
            </w:r>
            <w:proofErr w:type="spellEnd"/>
          </w:p>
        </w:tc>
      </w:tr>
      <w:tr w:rsidR="0021237C" w:rsidRPr="008813E4" w14:paraId="4EB5154C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FBC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Gypsum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DD8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4EC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8CA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7394E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4236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Gypsum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342E" w14:textId="5344701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BC07" w14:textId="450F501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20E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E968" w14:textId="6C219AC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51BE0E4E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D5E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2(g)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023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-13.22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F4A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30.25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B4B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43.47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28478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8E2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9FDF" w14:textId="1059775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-14.20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E89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30.49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5DCB" w14:textId="32E8FAF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44.69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2CA1" w14:textId="6465A39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612EEB23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79CC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(g)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55D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EC2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825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7C6F4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62D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85F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FC54" w14:textId="531B9B6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C5A8" w14:textId="2BD2EF5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1.77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9F2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48954ADE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8D5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Halite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CE9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9F8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AC6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3DC0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NaCl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BF93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Halite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820F" w14:textId="0539AAC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5EAD" w14:textId="4DBC1F7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FBE6" w14:textId="455AD7B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735B" w14:textId="1498BC8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NaCl</w:t>
            </w:r>
          </w:p>
        </w:tc>
      </w:tr>
      <w:tr w:rsidR="0021237C" w:rsidRPr="008813E4" w14:paraId="53432019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F43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HCl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(g)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224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-15.49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61F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84C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3073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HCl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581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HCl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8B1F" w14:textId="032F83E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-16.79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0345" w14:textId="4F87F02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543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6.74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CBB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HCl</w:t>
            </w:r>
            <w:proofErr w:type="spellEnd"/>
          </w:p>
        </w:tc>
      </w:tr>
      <w:tr w:rsidR="0021237C" w:rsidRPr="008813E4" w14:paraId="377DD993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446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Hematite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539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C37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A73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AD72D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AF42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Hematite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2EEC" w14:textId="1E357E4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05FF" w14:textId="2D140C6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6.47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07EA" w14:textId="4F09FCE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-0.27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74A6" w14:textId="0F002BB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21237C" w:rsidRPr="008813E4" w14:paraId="1486CD4B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0AB0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Hexahydrite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0D9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5DF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3C6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-1.63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CDD7F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006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Hexahydrite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9D21" w14:textId="71D0CA7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F019" w14:textId="3566342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EB9D" w14:textId="060737E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-1.61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BBAF" w14:textId="66D123C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20A5A862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69E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Hydrophilite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6FA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-18.83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F7E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749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F3BC7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371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Hydrophilite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2B9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-18.87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4A6D" w14:textId="2CEC03B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-6.60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2585" w14:textId="4913574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12.26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24C7" w14:textId="43E2A0B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4DF70CB1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9730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Hydroxyapatite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623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3BF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19.66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287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14.66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2F32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5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7A9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Hydroxyapatite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4D92" w14:textId="6403532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BBE6" w14:textId="5C09629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229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15.44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27D5" w14:textId="25CFD51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5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21237C" w:rsidRPr="008813E4" w14:paraId="00034104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B4F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8F2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-53.33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23A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18.33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F4D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71.66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DA0A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7B5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98EE" w14:textId="4E032BE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-53.50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DFB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19.87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4A7A" w14:textId="3E75D25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73.37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49D" w14:textId="3C034E7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</w:p>
        </w:tc>
      </w:tr>
      <w:tr w:rsidR="0021237C" w:rsidRPr="008813E4" w14:paraId="18A3C907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F21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K(NO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730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12A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3B8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DF7FF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K(NO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E48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K(NO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E94D" w14:textId="24F7B5B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10E8" w14:textId="61B780D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574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B461" w14:textId="7B0AC53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K(NO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1237C" w:rsidRPr="008813E4" w14:paraId="0B5593ED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3D89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K(OH)(s)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60B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-21.39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E44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C19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24.6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28BE1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K(OH)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3D3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3E0C" w14:textId="7B6F624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-19.98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2EC0" w14:textId="60CD1A3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44C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24.60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707E" w14:textId="5CFC8CF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K(OH)</w:t>
            </w:r>
          </w:p>
        </w:tc>
      </w:tr>
      <w:tr w:rsidR="0021237C" w:rsidRPr="008813E4" w14:paraId="5516F5BD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B23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K-carbonate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5D3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-16.61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F4A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-13.58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419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B7546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:1.5H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309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K-carbonate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9D11" w14:textId="2563149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-15.00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8652" w14:textId="53CFAA8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B5E8" w14:textId="08C3112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3.04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F03" w14:textId="4B3575F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:1.5H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1AF42D46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30B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K-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trona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F39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-19.45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8FB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-28.55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77B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08AF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NaH(CO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A1A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K-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trona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97C2" w14:textId="193E744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-18.02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B781" w14:textId="72737EA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-27.12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BB63" w14:textId="791E5B3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-9.10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919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NaH(CO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254F4CAA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85D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21E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-19.05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C5E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-13.58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422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CCF2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E3D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7791" w14:textId="292601C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-17.57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9B97" w14:textId="5DC7E1B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C63F" w14:textId="2EF14E9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5.60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494A" w14:textId="24CE428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21237C" w:rsidRPr="008813E4" w14:paraId="65DB4107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D2B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E40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-78.43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612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B36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84.84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7CFE7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D2E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9A17" w14:textId="0162FB9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-77.46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3F78" w14:textId="27AEA81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C20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86.71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3B72" w14:textId="739D627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3FF0D403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A7B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Kainite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398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ABC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-12.07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4ED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0E05A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KMgCl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):3H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505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Kainite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87BB" w14:textId="6CF97DD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CE27" w14:textId="26E7DA4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7101" w14:textId="14E780B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-0.11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0E1B" w14:textId="3C5E142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KMgCl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):3H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103B1E6B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456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Kalicinite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E00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1A9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-16.79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810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C6942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KHCO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69D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Kalicinite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979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A6A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-16.59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8D7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-10.27 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FF0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KHCO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21237C" w:rsidRPr="008813E4" w14:paraId="70D8EDA2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A50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KFe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(CrO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7D5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-67.28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9DD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-86.72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36B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-19.44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5D18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KFe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6FE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KFe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88B3" w14:textId="21110B2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-67.17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1E74" w14:textId="5FDB1B9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-86.72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49C5" w14:textId="2DF187C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-19.56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C756" w14:textId="5F6EE54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KFe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46AE596E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43F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KFe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(CrO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6(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DB4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-64.22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30D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-82.62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8FD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-18.4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5DE0D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07E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6(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B996" w14:textId="54FE1BE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-61.85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6298" w14:textId="73BD979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-80.25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366B" w14:textId="25F377C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-18.40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482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6</w:t>
            </w:r>
          </w:p>
        </w:tc>
      </w:tr>
      <w:tr w:rsidR="0021237C" w:rsidRPr="008813E4" w14:paraId="25E157A4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AE5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KH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661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71B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732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38C57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C94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F76B" w14:textId="1C84298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82E3" w14:textId="6B5E978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0F16" w14:textId="0846B88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-0.49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A9EB" w14:textId="3151F4E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</w:tr>
      <w:tr w:rsidR="0021237C" w:rsidRPr="008813E4" w14:paraId="4CF4B1DD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BFC0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Lansfordite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77E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-3.7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E7E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4C3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9F6B3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):5H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145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Lansfordite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5B1A" w14:textId="19C459B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-2.87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BF13" w14:textId="4023CBB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1272" w14:textId="7C4CA4F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-5.06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716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):5H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2BF69A09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4F6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Lawrencite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939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-18.66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965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7D8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CEED9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D1D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Lawrencite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93E8" w14:textId="31C9638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-20.10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DA90" w14:textId="5169FA6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9165" w14:textId="2424A06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9.39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8352" w14:textId="7413A94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69097158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1C6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Leonhardtite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03D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608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7DA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-0.85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7F47C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08EC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Leonhardtite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5637" w14:textId="6F79A15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-4.90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415D" w14:textId="506BC4C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6E44" w14:textId="38B72FB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-0.74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0C9A" w14:textId="3FDBC10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3D0E674A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316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lastRenderedPageBreak/>
              <w:t>Leonite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46F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-13.24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1F9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-17.24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9DA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FACDEA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DE6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Leonite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E95E" w14:textId="094269E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98F6" w14:textId="3B6AC16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-15.32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D8BB" w14:textId="36B914A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-4.07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3CBA" w14:textId="162D430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5B950AC8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52C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Lepidocrocite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894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ED3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25F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D5ECB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FeOOH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F19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Lepidocrocite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D24E" w14:textId="35FDBA5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2.09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ABA4" w14:textId="2CBBCB1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79F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1.14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965C" w14:textId="2C812DF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FeOOH</w:t>
            </w:r>
            <w:proofErr w:type="spellEnd"/>
          </w:p>
        </w:tc>
      </w:tr>
      <w:tr w:rsidR="0021237C" w:rsidRPr="008813E4" w14:paraId="12B905A8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B7FC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Maghemite</w:t>
            </w:r>
            <w:proofErr w:type="spellEnd"/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ZA"/>
              </w:rPr>
              <w:t>disord</w:t>
            </w:r>
            <w:proofErr w:type="spellEnd"/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0A4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3D2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E89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2F5F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D9A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Maghemite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disord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C757" w14:textId="61E2CFC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2F1E" w14:textId="612FD4C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7BE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E765" w14:textId="5D67AB8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21237C" w:rsidRPr="008813E4" w14:paraId="00123D25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AAA2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Maghemite</w:t>
            </w:r>
            <w:proofErr w:type="spellEnd"/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ZA"/>
              </w:rPr>
              <w:t>ord</w:t>
            </w:r>
            <w:proofErr w:type="spellEnd"/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E69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5CA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8F4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3815D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E54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Maghemite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ord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4296" w14:textId="35A9017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4916" w14:textId="7B3FFF3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AD9A" w14:textId="746EE03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4.43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DA43" w14:textId="4A21623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21237C" w:rsidRPr="008813E4" w14:paraId="13A47731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713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Magnesite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ZA"/>
              </w:rPr>
              <w:t>nat</w:t>
            </w:r>
            <w:proofErr w:type="spellEnd"/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E40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FB7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DCC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-8.87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104C6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2AD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Magnesite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nat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4E82" w14:textId="554B0C1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8C1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5243" w14:textId="1B5114C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-8.76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9561" w14:textId="0F83B0C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  <w:tr w:rsidR="0021237C" w:rsidRPr="008813E4" w14:paraId="2CD883AC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5B2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sz w:val="18"/>
                <w:szCs w:val="18"/>
                <w:lang w:val="en-ZA"/>
              </w:rPr>
              <w:t>Magnesite</w:t>
            </w:r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ZA"/>
              </w:rPr>
              <w:t>syn</w:t>
            </w:r>
            <w:proofErr w:type="spellEnd"/>
            <w:r w:rsidRPr="008813E4">
              <w:rPr>
                <w:rFonts w:ascii="Arial" w:eastAsia="Times New Roman" w:hAnsi="Arial" w:cs="Arial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DF6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8D1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7B8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-8.05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8BF79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13A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Magnesite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syn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0047" w14:textId="3B1CC58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4FC7" w14:textId="5D52215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50AD" w14:textId="5B6CD89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-7.92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A5FB" w14:textId="4B3E29B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1237C" w:rsidRPr="008813E4" w14:paraId="50DA7B1A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0302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Magnetite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493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8E8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12.61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14D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10.78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5FAE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73B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Magnetite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20B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4.14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52F7" w14:textId="70371B4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15.86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AE0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9297" w14:textId="711B9C0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</w:tr>
      <w:tr w:rsidR="0021237C" w:rsidRPr="008813E4" w14:paraId="7F996E77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82E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Melanterite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34A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C92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92C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-2.25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F611C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:7H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89D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Melanterite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87DA" w14:textId="786DA5C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8240" w14:textId="3119348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92BD" w14:textId="7A47C4D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-2.33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2D0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:7H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4274591A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B92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Mercallite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D2A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-12.85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2C9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-14.25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E53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92177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KHSO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BE0F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Mercallite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334D" w14:textId="6A585AA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-12.91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0D6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-14.30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038F" w14:textId="3284422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-1.40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739E" w14:textId="0196E92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KHSO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</w:tr>
      <w:tr w:rsidR="0021237C" w:rsidRPr="008813E4" w14:paraId="525FD6E9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191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FDE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-82.55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D83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41.51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B60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124.06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DF14E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129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5D6A" w14:textId="131EB4B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-83.54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5937" w14:textId="27DF003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43.77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652C" w14:textId="77C6CF5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127.31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532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</w:p>
        </w:tc>
      </w:tr>
      <w:tr w:rsidR="0021237C" w:rsidRPr="008813E4" w14:paraId="0C696231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770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Mg(HPO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):3H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D48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-2.3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42F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B90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1.41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A2028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Mg(HPO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):3H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B4F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Mg(HPO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):3H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189D" w14:textId="1C0850B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-2.50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1C9F" w14:textId="5041823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D494" w14:textId="66AA806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1.41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234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Mg(HPO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):3H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3FCB4D09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ADE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Mg(NO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F79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-24.01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4E0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F54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15.5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638E1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Mg(NO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29F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Mg(NO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2E04" w14:textId="3CC9D82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-26.18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3342" w14:textId="195E86C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42B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15.50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5B37" w14:textId="51C741C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Mg(NO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6F370EB7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161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Mg(NO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:6H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E5D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3F0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DC8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2.58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073F1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Mg(NO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846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Mg(NO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6992" w14:textId="0D95BDC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-13.26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D863" w14:textId="48C71AD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1959" w14:textId="121A254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2.58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1478" w14:textId="3CDEFE1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Mg(NO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65036D7F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7B7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Mg(SO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51B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-15.5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85A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D77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AAF55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355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2F6A" w14:textId="6ADF24D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-15.44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CE4D" w14:textId="34EC526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1CD0" w14:textId="6A119D6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9.80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4448" w14:textId="315FA23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1237C" w:rsidRPr="008813E4" w14:paraId="5719246C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9E5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Mg(SO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5D7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E98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D23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4C60F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C24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7391" w14:textId="05A317A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3D9F" w14:textId="7CB28F4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BC3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D12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5EDAEF41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734F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Mg-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oxychlorur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2A5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-12.86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5AF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758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F878D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Cl(OH)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82F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Mg-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oxychlorur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97B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2A5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16.52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2F09" w14:textId="2E58148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26.97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479C" w14:textId="28E4E8A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Cl(OH)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103B910F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98AA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BE3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A2F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A70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16.19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92A41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142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6FFD" w14:textId="3828C82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29D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9471" w14:textId="4AC5DAF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17.12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A3BF" w14:textId="57E5E09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4773D5D3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8A88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:22H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A9E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-6.54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A86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8A8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47F9A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1DA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882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1D01" w14:textId="58E8897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8B39" w14:textId="4D55018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FE1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528A1B5F" w14:textId="77777777" w:rsidTr="00773DCF">
        <w:trPr>
          <w:trHeight w:hRule="exact" w:val="5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DEF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:8H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5F0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88D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C9D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62FA8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:8H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EAD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:8H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70D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-2.81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3647" w14:textId="646D234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23A6" w14:textId="0418220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13.90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79B0" w14:textId="4AAB549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:8H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6833E5F0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DB7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5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107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-13.82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78F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-23.72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AB9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6FB67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5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E1A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5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79A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99F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-18.41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74B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-8.88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52D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5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4546662C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197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MgCl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4FB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-29.19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C72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CD3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8719F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A71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452B" w14:textId="619881C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-29.81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3E1E" w14:textId="2DCE750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C0EA" w14:textId="6FD8685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23.00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BDC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78A7BEA1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73C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MgCl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C82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-19.79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182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221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12.9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CD1C8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2B6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1B0E" w14:textId="32B802F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-19.71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E5F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1491" w14:textId="3D090F9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12.90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E7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4CBEA5F8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0EB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MgCl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4F6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-14.33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1DB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6E1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7D365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F82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B10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-14.25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9D26" w14:textId="0331EFF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AB9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7.44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E80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:4H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12FCA3E1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E8D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MgCl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7B5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-23.11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B72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4B9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1FC6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265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4AB8" w14:textId="58569CB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-23.03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4565" w14:textId="4029353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F148" w14:textId="5C28339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16.22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3CD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3318CA16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A2D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MgCrO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E89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53.01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D43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-34.73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EBC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-87.74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1265C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E67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7FE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55.65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93E8" w14:textId="1D8D925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-34.01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1BD3" w14:textId="5491257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-89.65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40C0" w14:textId="53A3B6D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MgCrO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</w:tr>
      <w:tr w:rsidR="0021237C" w:rsidRPr="008813E4" w14:paraId="53FB4020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7AA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Mirabilite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DEC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A75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272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95B59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:10H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46B6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Mirabilite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FAF4" w14:textId="2A2A36A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51FC" w14:textId="1154152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0763" w14:textId="5671532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-1.71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4ECF" w14:textId="18EB965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:10H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4BF44809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7FF3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lastRenderedPageBreak/>
              <w:t>Monosulfate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-Fe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AB6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-35.35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DCB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31.52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74A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66.87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AECC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12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AAFF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Monosulfate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-Fe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5600" w14:textId="570D04D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-27.44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16C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41.51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2696" w14:textId="0D4FFB1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68.95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3537" w14:textId="4AEA487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12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1EA42EA3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5EE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AC4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-47.88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DA5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20.16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BD5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68.04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54464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825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CD39" w14:textId="4C0E597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-48.40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00C4" w14:textId="4EF95DB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21.30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8C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69.70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4468" w14:textId="382A542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</w:p>
        </w:tc>
      </w:tr>
      <w:tr w:rsidR="0021237C" w:rsidRPr="008813E4" w14:paraId="4B6747F8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E96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Na(NO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B5A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-5.94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338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07C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41E7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Na(NO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1097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Na(NO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7625" w14:textId="451523D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47B3" w14:textId="1C7DEB5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8B32" w14:textId="307FE54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1.09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EFF5" w14:textId="4B9F451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Na(NO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1237C" w:rsidRPr="008813E4" w14:paraId="25D09F8C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D74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8A2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636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C4C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9CCAC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0EE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BEBA" w14:textId="249361A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E27B" w14:textId="1A6B2BD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344C" w14:textId="358AC23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1.28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F026" w14:textId="3FFF990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a2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1237C" w:rsidRPr="008813E4" w14:paraId="1703033A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8B1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:7H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956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51C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680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0D6D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:7H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F17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:7H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2EC7" w14:textId="59C6395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6102" w14:textId="2B834C0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65F7" w14:textId="0F0E1E5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-0.72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7F3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:7H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482FD3F1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7BF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HPO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BAC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-11.38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652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-2.08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E68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828C3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C2A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E5CD" w14:textId="310A846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AEA1" w14:textId="69ACF6C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-2.27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496D" w14:textId="7E9C7CB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9.45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CD0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</w:tr>
      <w:tr w:rsidR="0021237C" w:rsidRPr="008813E4" w14:paraId="389C1953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94F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044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9F2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10.07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A0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68.07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7D9D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D195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2C8C" w14:textId="084C5C4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-57.49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EB60" w14:textId="46BB42D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86BB" w14:textId="67813F0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69.60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B15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07CB280E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4452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549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-20.75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F40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709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23.7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9BCFD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234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23A8" w14:textId="69BE5AD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-20.39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9FF9" w14:textId="52A08E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F949" w14:textId="645BC50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24.17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399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</w:tr>
      <w:tr w:rsidR="0021237C" w:rsidRPr="008813E4" w14:paraId="16E3E7B8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C5E8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NaH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4(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38C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456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0D6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B2C5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0C0E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1EDA" w14:textId="27D07C6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63FE" w14:textId="4B6A934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D619" w14:textId="404093C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2.34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5A3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</w:tr>
      <w:tr w:rsidR="0021237C" w:rsidRPr="008813E4" w14:paraId="371DF24B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3B5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Nahcolite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172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3D9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-14.97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3D6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924C1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Na(HCO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DB63" w14:textId="7A18E73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Nahcolite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Na(HCO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0DF4" w14:textId="5E87AC0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0AD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-15.15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41E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-10.94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216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-10.94</w:t>
            </w:r>
          </w:p>
        </w:tc>
      </w:tr>
      <w:tr w:rsidR="0021237C" w:rsidRPr="008813E4" w14:paraId="68689726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FAB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Natron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25A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7C7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CFC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-0.94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12894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):10H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E77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Natron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F602" w14:textId="3408939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7788" w14:textId="30A4BD3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56DB" w14:textId="0E22FC4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-1.22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B6B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):10H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2BFE4BBA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7DE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Nesquehonite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18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-3.68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2F8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43A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444AF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):3H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BEC8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Nesquehonite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A206" w14:textId="3F7369A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-2.96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8A82" w14:textId="2029F2D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7E43" w14:textId="5C1913A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-4.96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8C6F" w14:textId="64BF96A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):3H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35462619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BF5E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2(g)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5A2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-57.62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410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-60.5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0EC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-2.88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63618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70F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/>
              </w:rPr>
              <w:t>O2</w:t>
            </w:r>
            <w:r w:rsidRPr="008813E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vertAlign w:val="subscript"/>
                <w:lang w:val="en-US"/>
              </w:rPr>
              <w:t>(g)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E102" w14:textId="4813CE8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-58.15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F58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-60.98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E450" w14:textId="7025256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-2.83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8C7A" w14:textId="4FB819B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79A6471E" w14:textId="77777777" w:rsidTr="00773DCF">
        <w:trPr>
          <w:trHeight w:hRule="exact" w:val="218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57A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P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ZA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D7C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-78.52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367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63.47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B4D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141.99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95AA1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3C9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(</w:t>
            </w: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cr</w:t>
            </w:r>
            <w:proofErr w:type="spellEnd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B5E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-83.89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6632" w14:textId="7EFD869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61.85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53DE" w14:textId="2FA2CDC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145.74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6556" w14:textId="097E120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</w:t>
            </w:r>
          </w:p>
        </w:tc>
      </w:tr>
      <w:tr w:rsidR="0021237C" w:rsidRPr="008813E4" w14:paraId="0B2CB6A2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308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Pentahydrite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7C4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38D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6F2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EC4B7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:5H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6F5D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Pentahydrite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C6AB" w14:textId="3AE7828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633E" w14:textId="60FB9C9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230" w14:textId="55C88EC1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BBEA" w14:textId="0B34F3E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:5H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01E3797E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284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Periclase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64A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-10.58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C58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106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21.84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9C28D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D5D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Periclase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8958" w14:textId="70D8655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F8EC" w14:textId="1DF38B1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244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22.50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16D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MgO</w:t>
            </w:r>
          </w:p>
        </w:tc>
      </w:tr>
      <w:tr w:rsidR="0021237C" w:rsidRPr="008813E4" w14:paraId="4160B630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8C4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Picromerite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276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-12.86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9B2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-17.24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DCA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04A05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82EF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Picromerite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12F2" w14:textId="38B4B14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BDDC" w14:textId="3910F3A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-15.32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62A2" w14:textId="0A195A4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-4.53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C628" w14:textId="7A68C81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01E5FF8E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181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Pirssonite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181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A7A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-18.71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C38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-8.93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EAEB2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762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Pirssonite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DCCF" w14:textId="5375921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C9D8" w14:textId="103E174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-16.82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1260" w14:textId="7258181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-8.97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BB7A" w14:textId="48BC3CA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4CD0DD73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9A1F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Polyhalite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16C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-15.98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10D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-29.72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74A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-13.74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A9EF4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1F6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Polyhalite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9D7E" w14:textId="0028844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-12.44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B3E7" w14:textId="4040C7C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-26.18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898D" w14:textId="3F04064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-13.74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978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MgCa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26B780F8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C629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Portlandite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FE3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692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11.22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1F6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23.03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BB63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6F5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Portlandite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6DDD" w14:textId="0702594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7F4A" w14:textId="6AD7A61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2913" w14:textId="54B1885B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23.60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AD06" w14:textId="185C8FA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Ca(OH)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</w:p>
        </w:tc>
      </w:tr>
      <w:tr w:rsidR="0021237C" w:rsidRPr="008813E4" w14:paraId="37ACD68D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B700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Siderite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B2E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07E8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2DC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6493E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5E6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Siderite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ADDA" w14:textId="4CF21A2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-1.09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62C2" w14:textId="14EEE7AD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68C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-10.73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160E" w14:textId="73CCF19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Fe(CO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1237C" w:rsidRPr="008813E4" w14:paraId="37DB2FA6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B34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Sylvite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167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D0E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193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28571C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KCl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A31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Sylvite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767E" w14:textId="7EE2878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62EB" w14:textId="60B4342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-5.43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8C1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0.76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1DF6" w14:textId="4821B72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KCl</w:t>
            </w:r>
            <w:proofErr w:type="spellEnd"/>
          </w:p>
        </w:tc>
      </w:tr>
      <w:tr w:rsidR="0021237C" w:rsidRPr="008813E4" w14:paraId="3B7F46E5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BF8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Syngenite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ADA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A7D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-17.28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206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3B8FC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7B4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Syngenite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84BF" w14:textId="01A90A0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7C70" w14:textId="3DCF9C83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-15.11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A17D" w14:textId="73DF1F80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-7.45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1939" w14:textId="102DCD1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Ca(SO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:6H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29984E1D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F98F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Tachyhydrite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B9B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-38.09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324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-20.71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288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17.38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C19ED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6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:12H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83E8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Tachyhydrite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B9E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-37.61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862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17.38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DCA8" w14:textId="65C0EC1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-20.23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011A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Mg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CaCl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6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:12H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471C40E3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9783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Thermonatrite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B87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-10.43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27D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39A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58D5E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421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Thermonatrite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3843" w14:textId="591FF79E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15E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-9.10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A478" w14:textId="475E255A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64DD" w14:textId="15865F3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):H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6683E5C1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0CB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Thernardite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E66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B9D0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237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4ABAA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E03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Thernardite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F9A4" w14:textId="1E52CC08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DEC0" w14:textId="5A053F2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-6.82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1AE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-0.35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0D3F" w14:textId="4C9489C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4</w:t>
            </w:r>
          </w:p>
        </w:tc>
      </w:tr>
      <w:tr w:rsidR="0021237C" w:rsidRPr="008813E4" w14:paraId="7651B246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FBF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lastRenderedPageBreak/>
              <w:t>Trona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6EA6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-13.45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C56D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-24.9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A863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77A3DF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8DE9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Trona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ECB3" w14:textId="6969FEEF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-12.64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6CB1" w14:textId="55A32A0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-24.26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77B9" w14:textId="196BB954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-11.62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19A" w14:textId="64337B86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Na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H(CO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:2H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</w:p>
        </w:tc>
      </w:tr>
      <w:tr w:rsidR="0021237C" w:rsidRPr="008813E4" w14:paraId="06CFAFC0" w14:textId="77777777" w:rsidTr="00773DCF">
        <w:trPr>
          <w:trHeight w:hRule="exact" w:val="374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25C2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ZA"/>
              </w:rPr>
              <w:t>Vaterite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66E7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-0.9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AD8B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-8.78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90A1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-7.87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912FF4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77B5" w14:textId="77777777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Vaterite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5351" w14:textId="22660139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0.10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07F2" w14:textId="25CCAE35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8742" w14:textId="64FEBFAC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-7.81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DF99" w14:textId="26169D12" w:rsidR="00BA323D" w:rsidRPr="008813E4" w:rsidRDefault="00BA323D" w:rsidP="00551B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CaCO</w:t>
            </w:r>
            <w:r w:rsidRPr="008813E4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val="en-US"/>
              </w:rPr>
              <w:t>3</w:t>
            </w:r>
          </w:p>
        </w:tc>
      </w:tr>
    </w:tbl>
    <w:p w14:paraId="689610F2" w14:textId="77777777" w:rsidR="00BA323D" w:rsidRPr="00551BF7" w:rsidRDefault="00BA323D" w:rsidP="00551BF7">
      <w:pPr>
        <w:spacing w:after="0" w:line="360" w:lineRule="auto"/>
        <w:rPr>
          <w:rFonts w:ascii="Arial" w:hAnsi="Arial" w:cs="Arial"/>
          <w:sz w:val="20"/>
          <w:szCs w:val="20"/>
        </w:rPr>
        <w:sectPr w:rsidR="00BA323D" w:rsidRPr="00551BF7" w:rsidSect="00C215A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014F698" w14:textId="77777777" w:rsidR="00165422" w:rsidRDefault="004040C2" w:rsidP="004040C2">
      <w:pPr>
        <w:pStyle w:val="Heading2"/>
        <w:rPr>
          <w:rFonts w:ascii="Arial" w:hAnsi="Arial" w:cs="Arial"/>
          <w:b/>
          <w:smallCaps/>
          <w:color w:val="auto"/>
          <w:sz w:val="22"/>
          <w:szCs w:val="22"/>
        </w:rPr>
      </w:pPr>
      <w:r w:rsidRPr="004040C2">
        <w:rPr>
          <w:rFonts w:ascii="Arial" w:hAnsi="Arial" w:cs="Arial"/>
          <w:b/>
          <w:smallCaps/>
          <w:color w:val="auto"/>
          <w:sz w:val="22"/>
          <w:szCs w:val="22"/>
        </w:rPr>
        <w:lastRenderedPageBreak/>
        <w:t>r</w:t>
      </w:r>
      <w:r w:rsidR="00165422" w:rsidRPr="004040C2">
        <w:rPr>
          <w:rFonts w:ascii="Arial" w:hAnsi="Arial" w:cs="Arial"/>
          <w:b/>
          <w:smallCaps/>
          <w:color w:val="auto"/>
          <w:sz w:val="22"/>
          <w:szCs w:val="22"/>
        </w:rPr>
        <w:t>eferences</w:t>
      </w:r>
    </w:p>
    <w:p w14:paraId="1F450787" w14:textId="77777777" w:rsidR="001865C8" w:rsidRPr="001865C8" w:rsidRDefault="001865C8" w:rsidP="001865C8">
      <w:pPr>
        <w:rPr>
          <w:rFonts w:ascii="Arial" w:hAnsi="Arial" w:cs="Arial"/>
        </w:rPr>
      </w:pPr>
    </w:p>
    <w:p w14:paraId="363E8582" w14:textId="77777777" w:rsidR="005201A0" w:rsidRPr="00551BF7" w:rsidRDefault="005201A0" w:rsidP="00551BF7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r w:rsidRPr="00551BF7">
        <w:rPr>
          <w:rFonts w:ascii="Arial" w:hAnsi="Arial" w:cs="Arial"/>
          <w:sz w:val="20"/>
          <w:szCs w:val="20"/>
        </w:rPr>
        <w:t xml:space="preserve">Abiye, T. A. and Leshomo, J. T. 2013. Groundwater flow and radioactivity in Namaqualand, South Africa. </w:t>
      </w:r>
      <w:r w:rsidRPr="00551BF7">
        <w:rPr>
          <w:rFonts w:ascii="Arial" w:hAnsi="Arial" w:cs="Arial"/>
          <w:i/>
          <w:sz w:val="20"/>
          <w:szCs w:val="20"/>
        </w:rPr>
        <w:t>Environmental Earth Sciences,</w:t>
      </w:r>
      <w:r w:rsidRPr="00551BF7">
        <w:rPr>
          <w:rFonts w:ascii="Arial" w:hAnsi="Arial" w:cs="Arial"/>
          <w:sz w:val="20"/>
          <w:szCs w:val="20"/>
        </w:rPr>
        <w:t xml:space="preserve"> 70</w:t>
      </w:r>
      <w:r w:rsidRPr="00551BF7">
        <w:rPr>
          <w:rFonts w:ascii="Arial" w:hAnsi="Arial" w:cs="Arial"/>
          <w:b/>
          <w:sz w:val="20"/>
          <w:szCs w:val="20"/>
        </w:rPr>
        <w:t>,</w:t>
      </w:r>
      <w:r w:rsidRPr="00551BF7">
        <w:rPr>
          <w:rFonts w:ascii="Arial" w:hAnsi="Arial" w:cs="Arial"/>
          <w:sz w:val="20"/>
          <w:szCs w:val="20"/>
        </w:rPr>
        <w:t xml:space="preserve"> 281-293.</w:t>
      </w:r>
    </w:p>
    <w:p w14:paraId="1794A04D" w14:textId="77777777" w:rsidR="00427BCB" w:rsidRPr="00551BF7" w:rsidRDefault="00E315F1" w:rsidP="00551BF7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r w:rsidRPr="00551BF7">
        <w:rPr>
          <w:rFonts w:ascii="Arial" w:hAnsi="Arial" w:cs="Arial"/>
          <w:sz w:val="20"/>
          <w:szCs w:val="20"/>
        </w:rPr>
        <w:fldChar w:fldCharType="begin"/>
      </w:r>
      <w:r w:rsidRPr="00551BF7">
        <w:rPr>
          <w:rFonts w:ascii="Arial" w:hAnsi="Arial" w:cs="Arial"/>
          <w:sz w:val="20"/>
          <w:szCs w:val="20"/>
        </w:rPr>
        <w:instrText xml:space="preserve"> ADDIN EN.REFLIST </w:instrText>
      </w:r>
      <w:r w:rsidRPr="00551BF7">
        <w:rPr>
          <w:rFonts w:ascii="Arial" w:hAnsi="Arial" w:cs="Arial"/>
          <w:sz w:val="20"/>
          <w:szCs w:val="20"/>
        </w:rPr>
        <w:fldChar w:fldCharType="separate"/>
      </w:r>
      <w:r w:rsidR="00427BCB" w:rsidRPr="00551BF7">
        <w:rPr>
          <w:rFonts w:ascii="Arial" w:hAnsi="Arial" w:cs="Arial"/>
          <w:sz w:val="20"/>
          <w:szCs w:val="20"/>
        </w:rPr>
        <w:t>Erdogan, I., Fosso-Kankeu, E., Ntwampe, S., Waanders, F., Hoth, N. and Rand, A. 2019. Groundwater as an alternative source to irregular surface water in the O</w:t>
      </w:r>
      <w:r w:rsidR="00E61D88" w:rsidRPr="00551BF7">
        <w:rPr>
          <w:rFonts w:ascii="Arial" w:hAnsi="Arial" w:cs="Arial"/>
          <w:sz w:val="20"/>
          <w:szCs w:val="20"/>
        </w:rPr>
        <w:t>'</w:t>
      </w:r>
      <w:r w:rsidR="00427BCB" w:rsidRPr="00551BF7">
        <w:rPr>
          <w:rFonts w:ascii="Arial" w:hAnsi="Arial" w:cs="Arial"/>
          <w:sz w:val="20"/>
          <w:szCs w:val="20"/>
        </w:rPr>
        <w:t xml:space="preserve">Kiep area, Namaqualand, South Africa. </w:t>
      </w:r>
      <w:r w:rsidR="00427BCB" w:rsidRPr="00551BF7">
        <w:rPr>
          <w:rFonts w:ascii="Arial" w:hAnsi="Arial" w:cs="Arial"/>
          <w:i/>
          <w:sz w:val="20"/>
          <w:szCs w:val="20"/>
        </w:rPr>
        <w:t>Physics and Chemistry of the Earth, Parts A/B/C</w:t>
      </w:r>
      <w:r w:rsidR="00427BCB" w:rsidRPr="00551BF7">
        <w:rPr>
          <w:rFonts w:ascii="Arial" w:hAnsi="Arial" w:cs="Arial"/>
          <w:sz w:val="20"/>
          <w:szCs w:val="20"/>
        </w:rPr>
        <w:t>.</w:t>
      </w:r>
    </w:p>
    <w:p w14:paraId="3BD655CE" w14:textId="77777777" w:rsidR="005201A0" w:rsidRPr="00551BF7" w:rsidRDefault="005201A0" w:rsidP="00551BF7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r w:rsidRPr="00551BF7">
        <w:rPr>
          <w:rFonts w:ascii="Arial" w:hAnsi="Arial" w:cs="Arial"/>
          <w:sz w:val="20"/>
          <w:szCs w:val="20"/>
        </w:rPr>
        <w:t xml:space="preserve">Leshomo, J. 2011. </w:t>
      </w:r>
      <w:r w:rsidRPr="00551BF7">
        <w:rPr>
          <w:rFonts w:ascii="Arial" w:hAnsi="Arial" w:cs="Arial"/>
          <w:i/>
          <w:sz w:val="20"/>
          <w:szCs w:val="20"/>
        </w:rPr>
        <w:t>Investigation of hydrochemistry and uranium radioactivity in the groundwater of Namaqualand, Northern Cape, South Africa</w:t>
      </w:r>
      <w:r w:rsidRPr="00551BF7">
        <w:rPr>
          <w:rFonts w:ascii="Arial" w:hAnsi="Arial" w:cs="Arial"/>
          <w:sz w:val="20"/>
          <w:szCs w:val="20"/>
        </w:rPr>
        <w:t>, Johannesburg: MSc thesis, University of Witwatersrand.</w:t>
      </w:r>
    </w:p>
    <w:p w14:paraId="28A6A3A4" w14:textId="77777777" w:rsidR="00427BCB" w:rsidRPr="00551BF7" w:rsidRDefault="00427BCB" w:rsidP="00551BF7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r w:rsidRPr="00551BF7">
        <w:rPr>
          <w:rFonts w:ascii="Arial" w:hAnsi="Arial" w:cs="Arial"/>
          <w:sz w:val="20"/>
          <w:szCs w:val="20"/>
        </w:rPr>
        <w:t>Parkhurst, D. L. and Appelo, C. 2013. Description of input and examples for PHREEQC version 3: a computer program for speciation, batch-reaction, one-dimensional transport, and inverse geochemical calculations. US Geological Survey.</w:t>
      </w:r>
    </w:p>
    <w:p w14:paraId="1BE0A252" w14:textId="77777777" w:rsidR="00427BCB" w:rsidRPr="00551BF7" w:rsidRDefault="00427BCB" w:rsidP="00551BF7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r w:rsidRPr="00551BF7">
        <w:rPr>
          <w:rFonts w:ascii="Arial" w:hAnsi="Arial" w:cs="Arial"/>
          <w:sz w:val="20"/>
          <w:szCs w:val="20"/>
        </w:rPr>
        <w:t xml:space="preserve">Parkhurst, D. L. and Appelo, C. 1999. User's guide to PHREEQC (Version 2): A computer program for speciation, batch-reaction, one-dimensional transport, and inverse geochemical calculations. </w:t>
      </w:r>
      <w:r w:rsidRPr="00551BF7">
        <w:rPr>
          <w:rFonts w:ascii="Arial" w:hAnsi="Arial" w:cs="Arial"/>
          <w:i/>
          <w:sz w:val="20"/>
          <w:szCs w:val="20"/>
        </w:rPr>
        <w:t>Water-resources investigations report,</w:t>
      </w:r>
      <w:r w:rsidRPr="00551BF7">
        <w:rPr>
          <w:rFonts w:ascii="Arial" w:hAnsi="Arial" w:cs="Arial"/>
          <w:sz w:val="20"/>
          <w:szCs w:val="20"/>
        </w:rPr>
        <w:t xml:space="preserve"> 99</w:t>
      </w:r>
      <w:r w:rsidRPr="00551BF7">
        <w:rPr>
          <w:rFonts w:ascii="Arial" w:hAnsi="Arial" w:cs="Arial"/>
          <w:b/>
          <w:sz w:val="20"/>
          <w:szCs w:val="20"/>
        </w:rPr>
        <w:t>,</w:t>
      </w:r>
      <w:r w:rsidRPr="00551BF7">
        <w:rPr>
          <w:rFonts w:ascii="Arial" w:hAnsi="Arial" w:cs="Arial"/>
          <w:sz w:val="20"/>
          <w:szCs w:val="20"/>
        </w:rPr>
        <w:t xml:space="preserve"> 312.</w:t>
      </w:r>
    </w:p>
    <w:p w14:paraId="13BFF22B" w14:textId="77777777" w:rsidR="00502C6D" w:rsidRPr="005201A0" w:rsidRDefault="00E315F1" w:rsidP="00551BF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51BF7">
        <w:rPr>
          <w:rFonts w:ascii="Arial" w:hAnsi="Arial" w:cs="Arial"/>
          <w:sz w:val="20"/>
          <w:szCs w:val="20"/>
        </w:rPr>
        <w:fldChar w:fldCharType="end"/>
      </w:r>
    </w:p>
    <w:sectPr w:rsidR="00502C6D" w:rsidRPr="00520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BBE6E" w14:textId="77777777" w:rsidR="00601D96" w:rsidRDefault="00601D96" w:rsidP="00241653">
      <w:pPr>
        <w:spacing w:after="0" w:line="240" w:lineRule="auto"/>
      </w:pPr>
      <w:r>
        <w:separator/>
      </w:r>
    </w:p>
  </w:endnote>
  <w:endnote w:type="continuationSeparator" w:id="0">
    <w:p w14:paraId="499A9619" w14:textId="77777777" w:rsidR="00601D96" w:rsidRDefault="00601D96" w:rsidP="0024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691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FB2BF" w14:textId="6E910F52" w:rsidR="008F0BBA" w:rsidRDefault="008F0B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77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64938BA" w14:textId="77777777" w:rsidR="008F0BBA" w:rsidRDefault="008F0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06138" w14:textId="77777777" w:rsidR="00601D96" w:rsidRDefault="00601D96" w:rsidP="00241653">
      <w:pPr>
        <w:spacing w:after="0" w:line="240" w:lineRule="auto"/>
      </w:pPr>
      <w:r>
        <w:separator/>
      </w:r>
    </w:p>
  </w:footnote>
  <w:footnote w:type="continuationSeparator" w:id="0">
    <w:p w14:paraId="7150C9EF" w14:textId="77777777" w:rsidR="00601D96" w:rsidRDefault="00601D96" w:rsidP="00241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20"/>
    <w:multiLevelType w:val="hybridMultilevel"/>
    <w:tmpl w:val="80221470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116AF"/>
    <w:multiLevelType w:val="hybridMultilevel"/>
    <w:tmpl w:val="1A02078C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3F1B77"/>
    <w:multiLevelType w:val="hybridMultilevel"/>
    <w:tmpl w:val="D4568524"/>
    <w:lvl w:ilvl="0" w:tplc="9C4C7A8E">
      <w:start w:val="1"/>
      <w:numFmt w:val="decimal"/>
      <w:lvlText w:val="[%1] 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7634B"/>
    <w:multiLevelType w:val="multilevel"/>
    <w:tmpl w:val="9E98D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wMLU0NrIwNbC0sDBQ0lEKTi0uzszPAykwqgUA6YzMUi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rvaxp2tpfrsse5sa1xafxkw0wf9wadpds5&quot;&gt;My EndNote Library-Converted&lt;record-ids&gt;&lt;item&gt;116&lt;/item&gt;&lt;item&gt;236&lt;/item&gt;&lt;item&gt;295&lt;/item&gt;&lt;item&gt;341&lt;/item&gt;&lt;/record-ids&gt;&lt;/item&gt;&lt;/Libraries&gt;"/>
  </w:docVars>
  <w:rsids>
    <w:rsidRoot w:val="005973BD"/>
    <w:rsid w:val="0000183B"/>
    <w:rsid w:val="00004229"/>
    <w:rsid w:val="00004FAE"/>
    <w:rsid w:val="000078C2"/>
    <w:rsid w:val="00015B54"/>
    <w:rsid w:val="00016A15"/>
    <w:rsid w:val="00016C79"/>
    <w:rsid w:val="000212BA"/>
    <w:rsid w:val="00026C19"/>
    <w:rsid w:val="00036F48"/>
    <w:rsid w:val="00042415"/>
    <w:rsid w:val="0006053C"/>
    <w:rsid w:val="00065E74"/>
    <w:rsid w:val="000733F0"/>
    <w:rsid w:val="00094F92"/>
    <w:rsid w:val="000A471B"/>
    <w:rsid w:val="000B49D4"/>
    <w:rsid w:val="000B7F55"/>
    <w:rsid w:val="000C037E"/>
    <w:rsid w:val="000D01CC"/>
    <w:rsid w:val="000E4E58"/>
    <w:rsid w:val="000E635E"/>
    <w:rsid w:val="000E7F74"/>
    <w:rsid w:val="000F132B"/>
    <w:rsid w:val="000F3155"/>
    <w:rsid w:val="000F6754"/>
    <w:rsid w:val="00120255"/>
    <w:rsid w:val="0013198C"/>
    <w:rsid w:val="00133163"/>
    <w:rsid w:val="001344D3"/>
    <w:rsid w:val="00135E2B"/>
    <w:rsid w:val="00140FF8"/>
    <w:rsid w:val="00141231"/>
    <w:rsid w:val="001427A5"/>
    <w:rsid w:val="001427E9"/>
    <w:rsid w:val="00147582"/>
    <w:rsid w:val="00154451"/>
    <w:rsid w:val="001561A0"/>
    <w:rsid w:val="001611FD"/>
    <w:rsid w:val="00162135"/>
    <w:rsid w:val="00165422"/>
    <w:rsid w:val="001672D9"/>
    <w:rsid w:val="001708FC"/>
    <w:rsid w:val="001865C8"/>
    <w:rsid w:val="0019267C"/>
    <w:rsid w:val="0019388C"/>
    <w:rsid w:val="00196406"/>
    <w:rsid w:val="001A3B8E"/>
    <w:rsid w:val="001A4FC9"/>
    <w:rsid w:val="001A5B57"/>
    <w:rsid w:val="001A6A6C"/>
    <w:rsid w:val="001B0949"/>
    <w:rsid w:val="001C5154"/>
    <w:rsid w:val="001D6664"/>
    <w:rsid w:val="001E147E"/>
    <w:rsid w:val="001E1786"/>
    <w:rsid w:val="001E3ED6"/>
    <w:rsid w:val="001E7DB4"/>
    <w:rsid w:val="0020052B"/>
    <w:rsid w:val="00205A4E"/>
    <w:rsid w:val="002066F5"/>
    <w:rsid w:val="00211EE2"/>
    <w:rsid w:val="0021237C"/>
    <w:rsid w:val="00222F8C"/>
    <w:rsid w:val="00224923"/>
    <w:rsid w:val="00227EF0"/>
    <w:rsid w:val="00234789"/>
    <w:rsid w:val="00235FA0"/>
    <w:rsid w:val="0024049A"/>
    <w:rsid w:val="00240539"/>
    <w:rsid w:val="00241653"/>
    <w:rsid w:val="002421D2"/>
    <w:rsid w:val="002427AE"/>
    <w:rsid w:val="0024486E"/>
    <w:rsid w:val="00244E9F"/>
    <w:rsid w:val="00247722"/>
    <w:rsid w:val="00251B57"/>
    <w:rsid w:val="00254A29"/>
    <w:rsid w:val="00257B63"/>
    <w:rsid w:val="00261CCA"/>
    <w:rsid w:val="00263766"/>
    <w:rsid w:val="00272F09"/>
    <w:rsid w:val="0027552D"/>
    <w:rsid w:val="0028188B"/>
    <w:rsid w:val="00281EB1"/>
    <w:rsid w:val="0028379A"/>
    <w:rsid w:val="00291E32"/>
    <w:rsid w:val="00293B2A"/>
    <w:rsid w:val="00296759"/>
    <w:rsid w:val="00296F32"/>
    <w:rsid w:val="00297928"/>
    <w:rsid w:val="002A10AE"/>
    <w:rsid w:val="002A5B06"/>
    <w:rsid w:val="002B1049"/>
    <w:rsid w:val="002C5BF0"/>
    <w:rsid w:val="002E4179"/>
    <w:rsid w:val="002F0FE6"/>
    <w:rsid w:val="002F5DA5"/>
    <w:rsid w:val="002F6972"/>
    <w:rsid w:val="00300DFA"/>
    <w:rsid w:val="003036FB"/>
    <w:rsid w:val="00305C2B"/>
    <w:rsid w:val="00307228"/>
    <w:rsid w:val="003111C5"/>
    <w:rsid w:val="00316BDD"/>
    <w:rsid w:val="00317461"/>
    <w:rsid w:val="00320B78"/>
    <w:rsid w:val="00322367"/>
    <w:rsid w:val="00322E86"/>
    <w:rsid w:val="00323232"/>
    <w:rsid w:val="003261AB"/>
    <w:rsid w:val="00333873"/>
    <w:rsid w:val="00333DB7"/>
    <w:rsid w:val="00335A52"/>
    <w:rsid w:val="00335BB3"/>
    <w:rsid w:val="0033621A"/>
    <w:rsid w:val="00340A01"/>
    <w:rsid w:val="00341687"/>
    <w:rsid w:val="00342EA5"/>
    <w:rsid w:val="00345FF7"/>
    <w:rsid w:val="00347901"/>
    <w:rsid w:val="00351D93"/>
    <w:rsid w:val="0035308D"/>
    <w:rsid w:val="00353912"/>
    <w:rsid w:val="00360282"/>
    <w:rsid w:val="00366FB3"/>
    <w:rsid w:val="00370366"/>
    <w:rsid w:val="00382163"/>
    <w:rsid w:val="00390642"/>
    <w:rsid w:val="003A672C"/>
    <w:rsid w:val="003C03A0"/>
    <w:rsid w:val="003C0C3F"/>
    <w:rsid w:val="003C0F72"/>
    <w:rsid w:val="003C1907"/>
    <w:rsid w:val="003C28DE"/>
    <w:rsid w:val="003C732B"/>
    <w:rsid w:val="003E3727"/>
    <w:rsid w:val="003E3C21"/>
    <w:rsid w:val="003F0A1A"/>
    <w:rsid w:val="003F2D17"/>
    <w:rsid w:val="003F52B8"/>
    <w:rsid w:val="00403C6B"/>
    <w:rsid w:val="004040C2"/>
    <w:rsid w:val="0040493C"/>
    <w:rsid w:val="00406090"/>
    <w:rsid w:val="004102A9"/>
    <w:rsid w:val="004107C3"/>
    <w:rsid w:val="004140A5"/>
    <w:rsid w:val="00416AA0"/>
    <w:rsid w:val="00425323"/>
    <w:rsid w:val="00427BCB"/>
    <w:rsid w:val="0043747C"/>
    <w:rsid w:val="00437D5F"/>
    <w:rsid w:val="00441109"/>
    <w:rsid w:val="004422D3"/>
    <w:rsid w:val="00455826"/>
    <w:rsid w:val="00457217"/>
    <w:rsid w:val="00463694"/>
    <w:rsid w:val="004656B1"/>
    <w:rsid w:val="004720BB"/>
    <w:rsid w:val="0047280E"/>
    <w:rsid w:val="004773AD"/>
    <w:rsid w:val="004853D4"/>
    <w:rsid w:val="00485C25"/>
    <w:rsid w:val="004869B3"/>
    <w:rsid w:val="004914F2"/>
    <w:rsid w:val="00491CA5"/>
    <w:rsid w:val="00492C40"/>
    <w:rsid w:val="00494011"/>
    <w:rsid w:val="004A029B"/>
    <w:rsid w:val="004A2467"/>
    <w:rsid w:val="004B0976"/>
    <w:rsid w:val="004B520A"/>
    <w:rsid w:val="004B62EB"/>
    <w:rsid w:val="004B775B"/>
    <w:rsid w:val="004C661E"/>
    <w:rsid w:val="004D3BE8"/>
    <w:rsid w:val="004E223F"/>
    <w:rsid w:val="004E417E"/>
    <w:rsid w:val="004E7C84"/>
    <w:rsid w:val="004F2FDA"/>
    <w:rsid w:val="004F74DE"/>
    <w:rsid w:val="00501D97"/>
    <w:rsid w:val="00502C6D"/>
    <w:rsid w:val="005049A2"/>
    <w:rsid w:val="005051DA"/>
    <w:rsid w:val="00506BCE"/>
    <w:rsid w:val="00507EF5"/>
    <w:rsid w:val="005138C2"/>
    <w:rsid w:val="00514DB5"/>
    <w:rsid w:val="005174B2"/>
    <w:rsid w:val="005201A0"/>
    <w:rsid w:val="00520C29"/>
    <w:rsid w:val="005217BC"/>
    <w:rsid w:val="00534DDD"/>
    <w:rsid w:val="00543F06"/>
    <w:rsid w:val="0054455E"/>
    <w:rsid w:val="00545060"/>
    <w:rsid w:val="00551609"/>
    <w:rsid w:val="0055180F"/>
    <w:rsid w:val="00551BF7"/>
    <w:rsid w:val="00554C33"/>
    <w:rsid w:val="0055651F"/>
    <w:rsid w:val="005604D0"/>
    <w:rsid w:val="00561CA2"/>
    <w:rsid w:val="00567313"/>
    <w:rsid w:val="00574157"/>
    <w:rsid w:val="005747C3"/>
    <w:rsid w:val="00580AB6"/>
    <w:rsid w:val="005830DA"/>
    <w:rsid w:val="005973BD"/>
    <w:rsid w:val="005A08D0"/>
    <w:rsid w:val="005A2B76"/>
    <w:rsid w:val="005A4F9A"/>
    <w:rsid w:val="005B0BD6"/>
    <w:rsid w:val="005B2024"/>
    <w:rsid w:val="005B52AA"/>
    <w:rsid w:val="005C2084"/>
    <w:rsid w:val="005C3A84"/>
    <w:rsid w:val="005C5043"/>
    <w:rsid w:val="005C5413"/>
    <w:rsid w:val="005D46BB"/>
    <w:rsid w:val="005D6865"/>
    <w:rsid w:val="005F140B"/>
    <w:rsid w:val="005F660E"/>
    <w:rsid w:val="0060043E"/>
    <w:rsid w:val="00601D96"/>
    <w:rsid w:val="00602D24"/>
    <w:rsid w:val="00604115"/>
    <w:rsid w:val="00611D3B"/>
    <w:rsid w:val="006159B5"/>
    <w:rsid w:val="006200BE"/>
    <w:rsid w:val="00622EF4"/>
    <w:rsid w:val="00626849"/>
    <w:rsid w:val="006269C2"/>
    <w:rsid w:val="006301D4"/>
    <w:rsid w:val="00640770"/>
    <w:rsid w:val="00641970"/>
    <w:rsid w:val="00641991"/>
    <w:rsid w:val="00641AF4"/>
    <w:rsid w:val="00652752"/>
    <w:rsid w:val="00653134"/>
    <w:rsid w:val="00660D93"/>
    <w:rsid w:val="0066292C"/>
    <w:rsid w:val="00663092"/>
    <w:rsid w:val="00670783"/>
    <w:rsid w:val="00674642"/>
    <w:rsid w:val="00683059"/>
    <w:rsid w:val="00685B9F"/>
    <w:rsid w:val="006905BB"/>
    <w:rsid w:val="00690E77"/>
    <w:rsid w:val="00694F40"/>
    <w:rsid w:val="006A0E5A"/>
    <w:rsid w:val="006A2698"/>
    <w:rsid w:val="006B0280"/>
    <w:rsid w:val="006B44D1"/>
    <w:rsid w:val="006D23A9"/>
    <w:rsid w:val="006D31CD"/>
    <w:rsid w:val="006D5801"/>
    <w:rsid w:val="006E2CB7"/>
    <w:rsid w:val="006E4369"/>
    <w:rsid w:val="006E5327"/>
    <w:rsid w:val="006F1E88"/>
    <w:rsid w:val="006F5F66"/>
    <w:rsid w:val="0071404B"/>
    <w:rsid w:val="0071718B"/>
    <w:rsid w:val="00726FD2"/>
    <w:rsid w:val="0073225F"/>
    <w:rsid w:val="00740EBF"/>
    <w:rsid w:val="0074189B"/>
    <w:rsid w:val="00750B9F"/>
    <w:rsid w:val="00760636"/>
    <w:rsid w:val="00762CA9"/>
    <w:rsid w:val="0076737E"/>
    <w:rsid w:val="00773DCF"/>
    <w:rsid w:val="00777C3C"/>
    <w:rsid w:val="0078060C"/>
    <w:rsid w:val="007876FB"/>
    <w:rsid w:val="00791769"/>
    <w:rsid w:val="007936C7"/>
    <w:rsid w:val="007A3794"/>
    <w:rsid w:val="007A4573"/>
    <w:rsid w:val="007A557B"/>
    <w:rsid w:val="007B5271"/>
    <w:rsid w:val="007B74B9"/>
    <w:rsid w:val="007C6CB0"/>
    <w:rsid w:val="007D48D9"/>
    <w:rsid w:val="007D4F8C"/>
    <w:rsid w:val="007D7DC5"/>
    <w:rsid w:val="007E7CE7"/>
    <w:rsid w:val="007F17CC"/>
    <w:rsid w:val="007F4709"/>
    <w:rsid w:val="00815BF1"/>
    <w:rsid w:val="00816A4F"/>
    <w:rsid w:val="00816D58"/>
    <w:rsid w:val="0082157B"/>
    <w:rsid w:val="0082434E"/>
    <w:rsid w:val="00824678"/>
    <w:rsid w:val="008354FD"/>
    <w:rsid w:val="00837D4D"/>
    <w:rsid w:val="00844FB6"/>
    <w:rsid w:val="00846C75"/>
    <w:rsid w:val="008662D1"/>
    <w:rsid w:val="00871EAA"/>
    <w:rsid w:val="00877419"/>
    <w:rsid w:val="008813E4"/>
    <w:rsid w:val="00886DCE"/>
    <w:rsid w:val="008B5FA1"/>
    <w:rsid w:val="008C07D5"/>
    <w:rsid w:val="008C2BC8"/>
    <w:rsid w:val="008C3694"/>
    <w:rsid w:val="008C56D3"/>
    <w:rsid w:val="008C5F99"/>
    <w:rsid w:val="008C6076"/>
    <w:rsid w:val="008C6D4B"/>
    <w:rsid w:val="008D2DBB"/>
    <w:rsid w:val="008E195E"/>
    <w:rsid w:val="008E1FF3"/>
    <w:rsid w:val="008E2FD7"/>
    <w:rsid w:val="008E6612"/>
    <w:rsid w:val="008F0573"/>
    <w:rsid w:val="008F0BBA"/>
    <w:rsid w:val="008F40AE"/>
    <w:rsid w:val="00901F55"/>
    <w:rsid w:val="00903391"/>
    <w:rsid w:val="00905B6F"/>
    <w:rsid w:val="00910F54"/>
    <w:rsid w:val="00913433"/>
    <w:rsid w:val="009150AD"/>
    <w:rsid w:val="00915E0D"/>
    <w:rsid w:val="00930676"/>
    <w:rsid w:val="00937490"/>
    <w:rsid w:val="0094346B"/>
    <w:rsid w:val="00945D0F"/>
    <w:rsid w:val="00952F9E"/>
    <w:rsid w:val="00960D76"/>
    <w:rsid w:val="009635E2"/>
    <w:rsid w:val="00966230"/>
    <w:rsid w:val="00966F35"/>
    <w:rsid w:val="0096759A"/>
    <w:rsid w:val="009715B3"/>
    <w:rsid w:val="009826E9"/>
    <w:rsid w:val="00987D92"/>
    <w:rsid w:val="0099256A"/>
    <w:rsid w:val="0099739E"/>
    <w:rsid w:val="009A2461"/>
    <w:rsid w:val="009A25A4"/>
    <w:rsid w:val="009B138B"/>
    <w:rsid w:val="009B4408"/>
    <w:rsid w:val="009C5CE5"/>
    <w:rsid w:val="009C6EE8"/>
    <w:rsid w:val="009C6F82"/>
    <w:rsid w:val="009D2F37"/>
    <w:rsid w:val="009D6F71"/>
    <w:rsid w:val="009E096A"/>
    <w:rsid w:val="009F0190"/>
    <w:rsid w:val="00A01A10"/>
    <w:rsid w:val="00A038AE"/>
    <w:rsid w:val="00A10B0C"/>
    <w:rsid w:val="00A23FB0"/>
    <w:rsid w:val="00A273A7"/>
    <w:rsid w:val="00A32794"/>
    <w:rsid w:val="00A33DCD"/>
    <w:rsid w:val="00A46835"/>
    <w:rsid w:val="00A615F7"/>
    <w:rsid w:val="00A62C31"/>
    <w:rsid w:val="00A6457D"/>
    <w:rsid w:val="00A6734F"/>
    <w:rsid w:val="00A76278"/>
    <w:rsid w:val="00A76D1A"/>
    <w:rsid w:val="00A83CA6"/>
    <w:rsid w:val="00A8458D"/>
    <w:rsid w:val="00A85938"/>
    <w:rsid w:val="00A907A9"/>
    <w:rsid w:val="00A92034"/>
    <w:rsid w:val="00A9538E"/>
    <w:rsid w:val="00A961F5"/>
    <w:rsid w:val="00AA0B13"/>
    <w:rsid w:val="00AA6E5D"/>
    <w:rsid w:val="00AA73EA"/>
    <w:rsid w:val="00AB321F"/>
    <w:rsid w:val="00AB5EE5"/>
    <w:rsid w:val="00AB6DFD"/>
    <w:rsid w:val="00AB73D2"/>
    <w:rsid w:val="00AC063F"/>
    <w:rsid w:val="00AC0759"/>
    <w:rsid w:val="00AD591A"/>
    <w:rsid w:val="00AD5F47"/>
    <w:rsid w:val="00AD7090"/>
    <w:rsid w:val="00AD7F78"/>
    <w:rsid w:val="00AE6F7B"/>
    <w:rsid w:val="00AF023F"/>
    <w:rsid w:val="00AF5360"/>
    <w:rsid w:val="00AF58B3"/>
    <w:rsid w:val="00B10377"/>
    <w:rsid w:val="00B14AA3"/>
    <w:rsid w:val="00B21AC8"/>
    <w:rsid w:val="00B21FC9"/>
    <w:rsid w:val="00B25918"/>
    <w:rsid w:val="00B25E4B"/>
    <w:rsid w:val="00B3122D"/>
    <w:rsid w:val="00B33FB0"/>
    <w:rsid w:val="00B351F4"/>
    <w:rsid w:val="00B43A4E"/>
    <w:rsid w:val="00B535F5"/>
    <w:rsid w:val="00B5670B"/>
    <w:rsid w:val="00B60ECB"/>
    <w:rsid w:val="00B622C4"/>
    <w:rsid w:val="00B6249D"/>
    <w:rsid w:val="00B638D8"/>
    <w:rsid w:val="00B77224"/>
    <w:rsid w:val="00B810E5"/>
    <w:rsid w:val="00B81B63"/>
    <w:rsid w:val="00B826E8"/>
    <w:rsid w:val="00B85288"/>
    <w:rsid w:val="00B866BC"/>
    <w:rsid w:val="00B87688"/>
    <w:rsid w:val="00B90F0C"/>
    <w:rsid w:val="00B91DA5"/>
    <w:rsid w:val="00B96FA2"/>
    <w:rsid w:val="00BA1455"/>
    <w:rsid w:val="00BA1523"/>
    <w:rsid w:val="00BA3026"/>
    <w:rsid w:val="00BA323D"/>
    <w:rsid w:val="00BA3251"/>
    <w:rsid w:val="00BA594C"/>
    <w:rsid w:val="00BA5FC4"/>
    <w:rsid w:val="00BA6B92"/>
    <w:rsid w:val="00BB3554"/>
    <w:rsid w:val="00BC00FF"/>
    <w:rsid w:val="00BC070F"/>
    <w:rsid w:val="00BC5477"/>
    <w:rsid w:val="00BD34BA"/>
    <w:rsid w:val="00BD71D2"/>
    <w:rsid w:val="00BE0508"/>
    <w:rsid w:val="00BE0601"/>
    <w:rsid w:val="00BE12FB"/>
    <w:rsid w:val="00BE19A1"/>
    <w:rsid w:val="00BE2B15"/>
    <w:rsid w:val="00BE32D2"/>
    <w:rsid w:val="00BE3E13"/>
    <w:rsid w:val="00BF44FB"/>
    <w:rsid w:val="00BF5ADF"/>
    <w:rsid w:val="00C00716"/>
    <w:rsid w:val="00C10157"/>
    <w:rsid w:val="00C112EB"/>
    <w:rsid w:val="00C115CE"/>
    <w:rsid w:val="00C12A8C"/>
    <w:rsid w:val="00C215A4"/>
    <w:rsid w:val="00C24F42"/>
    <w:rsid w:val="00C30590"/>
    <w:rsid w:val="00C31F13"/>
    <w:rsid w:val="00C34379"/>
    <w:rsid w:val="00C3539A"/>
    <w:rsid w:val="00C357D7"/>
    <w:rsid w:val="00C37542"/>
    <w:rsid w:val="00C40126"/>
    <w:rsid w:val="00C466CE"/>
    <w:rsid w:val="00C52E7C"/>
    <w:rsid w:val="00C56556"/>
    <w:rsid w:val="00C56D21"/>
    <w:rsid w:val="00C623A4"/>
    <w:rsid w:val="00C67B14"/>
    <w:rsid w:val="00C76719"/>
    <w:rsid w:val="00C8396F"/>
    <w:rsid w:val="00C90A08"/>
    <w:rsid w:val="00C90AFA"/>
    <w:rsid w:val="00C92714"/>
    <w:rsid w:val="00C950B4"/>
    <w:rsid w:val="00C95D7C"/>
    <w:rsid w:val="00CA56CA"/>
    <w:rsid w:val="00CA5D7C"/>
    <w:rsid w:val="00CB3C49"/>
    <w:rsid w:val="00CB77B0"/>
    <w:rsid w:val="00CC3C99"/>
    <w:rsid w:val="00CD2973"/>
    <w:rsid w:val="00CD7338"/>
    <w:rsid w:val="00CF0B14"/>
    <w:rsid w:val="00D01FFF"/>
    <w:rsid w:val="00D11A16"/>
    <w:rsid w:val="00D14F4E"/>
    <w:rsid w:val="00D20690"/>
    <w:rsid w:val="00D21E8B"/>
    <w:rsid w:val="00D227EF"/>
    <w:rsid w:val="00D22C4C"/>
    <w:rsid w:val="00D237B9"/>
    <w:rsid w:val="00D27F5D"/>
    <w:rsid w:val="00D3080C"/>
    <w:rsid w:val="00D31C0B"/>
    <w:rsid w:val="00D33000"/>
    <w:rsid w:val="00D337F0"/>
    <w:rsid w:val="00D37809"/>
    <w:rsid w:val="00D4297A"/>
    <w:rsid w:val="00D462B4"/>
    <w:rsid w:val="00D46D09"/>
    <w:rsid w:val="00D4740C"/>
    <w:rsid w:val="00D477E2"/>
    <w:rsid w:val="00D50F1C"/>
    <w:rsid w:val="00D52D56"/>
    <w:rsid w:val="00D53177"/>
    <w:rsid w:val="00D6119B"/>
    <w:rsid w:val="00D67813"/>
    <w:rsid w:val="00D67DCF"/>
    <w:rsid w:val="00D754A8"/>
    <w:rsid w:val="00D769E4"/>
    <w:rsid w:val="00D817D8"/>
    <w:rsid w:val="00D87B4F"/>
    <w:rsid w:val="00D90628"/>
    <w:rsid w:val="00D92B72"/>
    <w:rsid w:val="00D9638D"/>
    <w:rsid w:val="00DA2349"/>
    <w:rsid w:val="00DA2567"/>
    <w:rsid w:val="00DA6D3C"/>
    <w:rsid w:val="00DA7B79"/>
    <w:rsid w:val="00DB0EA0"/>
    <w:rsid w:val="00DB2F9F"/>
    <w:rsid w:val="00DB4064"/>
    <w:rsid w:val="00DB5E88"/>
    <w:rsid w:val="00DB7E69"/>
    <w:rsid w:val="00DC3447"/>
    <w:rsid w:val="00DC3B7F"/>
    <w:rsid w:val="00DC635B"/>
    <w:rsid w:val="00DC7326"/>
    <w:rsid w:val="00DD2A45"/>
    <w:rsid w:val="00DD4323"/>
    <w:rsid w:val="00DE1374"/>
    <w:rsid w:val="00DE54F7"/>
    <w:rsid w:val="00DE711C"/>
    <w:rsid w:val="00DE719A"/>
    <w:rsid w:val="00DF390C"/>
    <w:rsid w:val="00E02DA5"/>
    <w:rsid w:val="00E12CD9"/>
    <w:rsid w:val="00E12D11"/>
    <w:rsid w:val="00E136E7"/>
    <w:rsid w:val="00E163BE"/>
    <w:rsid w:val="00E16AD2"/>
    <w:rsid w:val="00E21C0E"/>
    <w:rsid w:val="00E222D0"/>
    <w:rsid w:val="00E3159F"/>
    <w:rsid w:val="00E315F1"/>
    <w:rsid w:val="00E33498"/>
    <w:rsid w:val="00E42377"/>
    <w:rsid w:val="00E535AE"/>
    <w:rsid w:val="00E5645E"/>
    <w:rsid w:val="00E56CD5"/>
    <w:rsid w:val="00E61D88"/>
    <w:rsid w:val="00E65C82"/>
    <w:rsid w:val="00E67E25"/>
    <w:rsid w:val="00E713A4"/>
    <w:rsid w:val="00E73DB3"/>
    <w:rsid w:val="00E74875"/>
    <w:rsid w:val="00E77EA7"/>
    <w:rsid w:val="00E80A42"/>
    <w:rsid w:val="00E8250A"/>
    <w:rsid w:val="00E83945"/>
    <w:rsid w:val="00E83A25"/>
    <w:rsid w:val="00E8694F"/>
    <w:rsid w:val="00E90A3C"/>
    <w:rsid w:val="00E926AD"/>
    <w:rsid w:val="00E92F31"/>
    <w:rsid w:val="00E96107"/>
    <w:rsid w:val="00EA1751"/>
    <w:rsid w:val="00EA2106"/>
    <w:rsid w:val="00EA7EE7"/>
    <w:rsid w:val="00EB3581"/>
    <w:rsid w:val="00EB6BF4"/>
    <w:rsid w:val="00EC7206"/>
    <w:rsid w:val="00ED197A"/>
    <w:rsid w:val="00ED6C0D"/>
    <w:rsid w:val="00ED79A6"/>
    <w:rsid w:val="00EE46F2"/>
    <w:rsid w:val="00EE6C5E"/>
    <w:rsid w:val="00EE75C2"/>
    <w:rsid w:val="00EF361D"/>
    <w:rsid w:val="00EF3CF3"/>
    <w:rsid w:val="00EF69E0"/>
    <w:rsid w:val="00F0398B"/>
    <w:rsid w:val="00F03B8C"/>
    <w:rsid w:val="00F069A3"/>
    <w:rsid w:val="00F106FE"/>
    <w:rsid w:val="00F13623"/>
    <w:rsid w:val="00F13E53"/>
    <w:rsid w:val="00F17FEF"/>
    <w:rsid w:val="00F2743E"/>
    <w:rsid w:val="00F37C4B"/>
    <w:rsid w:val="00F40D41"/>
    <w:rsid w:val="00F46A3B"/>
    <w:rsid w:val="00F53E21"/>
    <w:rsid w:val="00F56D1F"/>
    <w:rsid w:val="00F67CA1"/>
    <w:rsid w:val="00F72358"/>
    <w:rsid w:val="00F807B4"/>
    <w:rsid w:val="00F84629"/>
    <w:rsid w:val="00F859DA"/>
    <w:rsid w:val="00F87888"/>
    <w:rsid w:val="00F87C5D"/>
    <w:rsid w:val="00F93ACE"/>
    <w:rsid w:val="00F94387"/>
    <w:rsid w:val="00F96472"/>
    <w:rsid w:val="00F96A21"/>
    <w:rsid w:val="00FA4F1B"/>
    <w:rsid w:val="00FA5FB2"/>
    <w:rsid w:val="00FB13D2"/>
    <w:rsid w:val="00FB77EC"/>
    <w:rsid w:val="00FC1ACA"/>
    <w:rsid w:val="00FC2406"/>
    <w:rsid w:val="00FD44BE"/>
    <w:rsid w:val="00FD4BB8"/>
    <w:rsid w:val="00FE2455"/>
    <w:rsid w:val="00FE47AC"/>
    <w:rsid w:val="00FE5137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9C41D"/>
  <w15:docId w15:val="{7D1573E4-55C6-4266-B035-6774E2F1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8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D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8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D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02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8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315F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315F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315F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315F1"/>
    <w:rPr>
      <w:rFonts w:ascii="Calibri" w:hAnsi="Calibri" w:cs="Calibri"/>
      <w:noProof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8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A3B8E"/>
  </w:style>
  <w:style w:type="paragraph" w:styleId="Header">
    <w:name w:val="header"/>
    <w:basedOn w:val="Normal"/>
    <w:link w:val="HeaderChar"/>
    <w:uiPriority w:val="99"/>
    <w:unhideWhenUsed/>
    <w:rsid w:val="001A3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B8E"/>
  </w:style>
  <w:style w:type="paragraph" w:styleId="Footer">
    <w:name w:val="footer"/>
    <w:basedOn w:val="Normal"/>
    <w:link w:val="FooterChar"/>
    <w:uiPriority w:val="99"/>
    <w:unhideWhenUsed/>
    <w:rsid w:val="001A3B8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Body">
    <w:name w:val="Body"/>
    <w:rsid w:val="009C6E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E5645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F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AD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063F"/>
    <w:rPr>
      <w:color w:val="800080"/>
      <w:u w:val="single"/>
    </w:rPr>
  </w:style>
  <w:style w:type="paragraph" w:customStyle="1" w:styleId="xl65">
    <w:name w:val="xl65"/>
    <w:basedOn w:val="Normal"/>
    <w:rsid w:val="00AC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ZA"/>
    </w:rPr>
  </w:style>
  <w:style w:type="paragraph" w:styleId="NoSpacing">
    <w:name w:val="No Spacing"/>
    <w:uiPriority w:val="1"/>
    <w:qFormat/>
    <w:rsid w:val="00F13623"/>
    <w:pPr>
      <w:spacing w:after="0" w:line="240" w:lineRule="auto"/>
    </w:pPr>
    <w:rPr>
      <w:lang w:val="en-GB"/>
    </w:rPr>
  </w:style>
  <w:style w:type="paragraph" w:customStyle="1" w:styleId="Style1">
    <w:name w:val="Style1"/>
    <w:basedOn w:val="Normal"/>
    <w:link w:val="Style1Char"/>
    <w:qFormat/>
    <w:rsid w:val="00335BB3"/>
    <w:pPr>
      <w:spacing w:line="360" w:lineRule="auto"/>
      <w:jc w:val="both"/>
    </w:pPr>
    <w:rPr>
      <w:rFonts w:ascii="Arial" w:hAnsi="Arial" w:cs="Arial"/>
    </w:rPr>
  </w:style>
  <w:style w:type="character" w:customStyle="1" w:styleId="Style1Char">
    <w:name w:val="Style1 Char"/>
    <w:basedOn w:val="DefaultParagraphFont"/>
    <w:link w:val="Style1"/>
    <w:rsid w:val="00335BB3"/>
    <w:rPr>
      <w:rFonts w:ascii="Arial" w:hAnsi="Arial" w:cs="Arial"/>
      <w:lang w:val="en-GB"/>
    </w:rPr>
  </w:style>
  <w:style w:type="paragraph" w:customStyle="1" w:styleId="AdressLines">
    <w:name w:val="AdressLines"/>
    <w:basedOn w:val="BodyText"/>
    <w:link w:val="AdressLinesZchn"/>
    <w:qFormat/>
    <w:rsid w:val="00C24F42"/>
    <w:pPr>
      <w:keepNext/>
      <w:tabs>
        <w:tab w:val="left" w:pos="1134"/>
      </w:tabs>
      <w:spacing w:after="240" w:line="240" w:lineRule="auto"/>
      <w:jc w:val="center"/>
      <w:outlineLvl w:val="0"/>
    </w:pPr>
    <w:rPr>
      <w:rFonts w:ascii="Cambria" w:eastAsia="Times New Roman" w:hAnsi="Cambria" w:cs="Times New Roman"/>
      <w:i/>
      <w:iCs/>
      <w:sz w:val="20"/>
      <w:szCs w:val="20"/>
      <w:lang w:eastAsia="cs-CZ"/>
    </w:rPr>
  </w:style>
  <w:style w:type="character" w:customStyle="1" w:styleId="AdressLinesZchn">
    <w:name w:val="AdressLines Zchn"/>
    <w:link w:val="AdressLines"/>
    <w:rsid w:val="00C24F42"/>
    <w:rPr>
      <w:rFonts w:ascii="Cambria" w:eastAsia="Times New Roman" w:hAnsi="Cambria" w:cs="Times New Roman"/>
      <w:i/>
      <w:iCs/>
      <w:sz w:val="20"/>
      <w:szCs w:val="20"/>
      <w:lang w:val="en-GB" w:eastAsia="cs-CZ"/>
    </w:rPr>
  </w:style>
  <w:style w:type="paragraph" w:styleId="BodyText">
    <w:name w:val="Body Text"/>
    <w:basedOn w:val="Normal"/>
    <w:link w:val="BodyTextChar"/>
    <w:uiPriority w:val="99"/>
    <w:semiHidden/>
    <w:unhideWhenUsed/>
    <w:rsid w:val="00C24F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4F4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gs.gov/core-science-systems/ngp/national-hydrograph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nocentia.erdogan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vis.FossoKankeu@nwu.ac.z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B4D4A58AE1B49A41793CFDD9C2F43" ma:contentTypeVersion="13" ma:contentTypeDescription="Create a new document." ma:contentTypeScope="" ma:versionID="01a955d084f2379c3c54fd1ecaa60455">
  <xsd:schema xmlns:xsd="http://www.w3.org/2001/XMLSchema" xmlns:xs="http://www.w3.org/2001/XMLSchema" xmlns:p="http://schemas.microsoft.com/office/2006/metadata/properties" xmlns:ns3="cddb9e23-7cdc-498a-aa32-6850515a4d51" xmlns:ns4="3bdc866e-bea9-4420-89ab-2700255a729e" targetNamespace="http://schemas.microsoft.com/office/2006/metadata/properties" ma:root="true" ma:fieldsID="f28b7f95dddd4bda1b75b14e8cd48c3c" ns3:_="" ns4:_="">
    <xsd:import namespace="cddb9e23-7cdc-498a-aa32-6850515a4d51"/>
    <xsd:import namespace="3bdc866e-bea9-4420-89ab-2700255a7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b9e23-7cdc-498a-aa32-6850515a4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866e-bea9-4420-89ab-2700255a7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A31E5-EA8A-4C4F-9019-37B5220CB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433C8B-D0A3-4931-8ECA-6BD307E82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b9e23-7cdc-498a-aa32-6850515a4d51"/>
    <ds:schemaRef ds:uri="3bdc866e-bea9-4420-89ab-2700255a7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C0BE11-36F4-4F48-9FDD-CA7021BC48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A89C3-E9B3-4E44-8290-D9AC515C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CPUT</Company>
  <LinksUpToDate>false</LinksUpToDate>
  <CharactersWithSpaces>28435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Innocentia Erdogan</dc:creator>
  <cp:lastModifiedBy>Innocentia Erdogan</cp:lastModifiedBy>
  <cp:revision>3</cp:revision>
  <dcterms:created xsi:type="dcterms:W3CDTF">2020-08-16T21:14:00Z</dcterms:created>
  <dcterms:modified xsi:type="dcterms:W3CDTF">2020-08-18T08:56:00Z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0x010100C39B4D4A58AE1B49A41793CFDD9C2F43</vt:lpwstr>
  </property>
</Properties>
</file>